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72" w:rsidRDefault="00F9656A">
      <w:pPr>
        <w:jc w:val="both"/>
      </w:pPr>
      <w:r>
        <w:rPr>
          <w:rFonts w:ascii="Arial" w:hAnsi="Arial"/>
          <w:b/>
          <w:sz w:val="28"/>
          <w:szCs w:val="28"/>
        </w:rPr>
        <w:t>Abstract</w:t>
      </w:r>
    </w:p>
    <w:p w:rsidR="00F72472" w:rsidRDefault="00F72472">
      <w:pPr>
        <w:jc w:val="both"/>
      </w:pPr>
    </w:p>
    <w:p w:rsidR="00F72472" w:rsidRDefault="00F9656A">
      <w:pPr>
        <w:spacing w:line="480" w:lineRule="auto"/>
        <w:jc w:val="both"/>
      </w:pPr>
      <w:r>
        <w:rPr>
          <w:rFonts w:ascii="Arial" w:hAnsi="Arial"/>
          <w:b/>
        </w:rPr>
        <w:t>Title:</w:t>
      </w:r>
      <w:r>
        <w:rPr>
          <w:rFonts w:ascii="Arial" w:hAnsi="Arial"/>
        </w:rPr>
        <w:t xml:space="preserve"> Effects of storage and preservation on bone microindentation properties.</w:t>
      </w:r>
    </w:p>
    <w:p w:rsidR="00F72472" w:rsidRDefault="00F9656A">
      <w:pPr>
        <w:spacing w:line="480" w:lineRule="auto"/>
        <w:jc w:val="both"/>
      </w:pPr>
      <w:r>
        <w:rPr>
          <w:rFonts w:ascii="Arial" w:hAnsi="Arial"/>
          <w:b/>
          <w:bCs/>
        </w:rPr>
        <w:t>Authors: Temiloluwa A Adesioye</w:t>
      </w:r>
      <w:r>
        <w:rPr>
          <w:rFonts w:ascii="Arial" w:hAnsi="Arial"/>
        </w:rPr>
        <w:t xml:space="preserve"> and Peter S Grabowski</w:t>
      </w:r>
    </w:p>
    <w:p w:rsidR="00F72472" w:rsidRDefault="00F9656A">
      <w:pPr>
        <w:spacing w:line="480" w:lineRule="auto"/>
        <w:jc w:val="both"/>
      </w:pPr>
      <w:r>
        <w:rPr>
          <w:rFonts w:ascii="Arial" w:hAnsi="Arial"/>
          <w:b/>
          <w:bCs/>
        </w:rPr>
        <w:t>Author Affiliation:</w:t>
      </w:r>
      <w:r>
        <w:rPr>
          <w:rFonts w:ascii="Arial" w:hAnsi="Arial"/>
        </w:rPr>
        <w:t xml:space="preserve"> Academic Unit of Human Nutrition, University of Sheffield, UK</w:t>
      </w:r>
    </w:p>
    <w:p w:rsidR="00F72472" w:rsidRDefault="00F9656A">
      <w:pPr>
        <w:spacing w:line="480" w:lineRule="auto"/>
        <w:jc w:val="both"/>
      </w:pPr>
      <w:r>
        <w:rPr>
          <w:rFonts w:ascii="Arial" w:hAnsi="Arial"/>
          <w:b/>
        </w:rPr>
        <w:t>Background</w:t>
      </w:r>
      <w:r>
        <w:rPr>
          <w:rFonts w:ascii="Arial" w:hAnsi="Arial"/>
        </w:rPr>
        <w:t>:  Bone fragility, resulting from nutritional deficiencies, genetic predispositions, and disease including osteoporosis and arthritis, significantly increases the risk of sustaining a fracture. There are currently no reliable methods to determine bone qual</w:t>
      </w:r>
      <w:r>
        <w:rPr>
          <w:rFonts w:ascii="Arial" w:hAnsi="Arial"/>
        </w:rPr>
        <w:t>ity, where estimates of bone strength rely at best on unproven assumptions in the relationship between bone mineral density (BMD) and bone mechanical properties. We are undertaking studies with the BioDent Hfc (Active Life Scientific), an experimental refe</w:t>
      </w:r>
      <w:r>
        <w:rPr>
          <w:rFonts w:ascii="Arial" w:hAnsi="Arial"/>
        </w:rPr>
        <w:t xml:space="preserve">rence point microindentation device that has recently been shown to discriminate between cases of bone fracture and controls. </w:t>
      </w:r>
    </w:p>
    <w:p w:rsidR="00F72472" w:rsidRDefault="00F9656A">
      <w:pPr>
        <w:spacing w:line="480" w:lineRule="auto"/>
        <w:jc w:val="both"/>
      </w:pPr>
      <w:r>
        <w:rPr>
          <w:rFonts w:ascii="Arial" w:hAnsi="Arial"/>
          <w:b/>
        </w:rPr>
        <w:t>Aims</w:t>
      </w:r>
      <w:r>
        <w:rPr>
          <w:rFonts w:ascii="Arial" w:hAnsi="Arial"/>
        </w:rPr>
        <w:t>: In this study, we assessed</w:t>
      </w:r>
      <w:bookmarkStart w:id="0" w:name="_GoBack"/>
      <w:bookmarkEnd w:id="0"/>
      <w:r>
        <w:rPr>
          <w:rFonts w:ascii="Arial" w:hAnsi="Arial"/>
        </w:rPr>
        <w:t xml:space="preserve"> whether sample storage protocols would affect bone microindentation properties.</w:t>
      </w:r>
    </w:p>
    <w:p w:rsidR="00F72472" w:rsidRDefault="00F9656A">
      <w:pPr>
        <w:spacing w:line="480" w:lineRule="auto"/>
        <w:jc w:val="both"/>
      </w:pPr>
      <w:r>
        <w:rPr>
          <w:rFonts w:ascii="Arial" w:hAnsi="Arial"/>
          <w:b/>
        </w:rPr>
        <w:t>Methods</w:t>
      </w:r>
      <w:r>
        <w:rPr>
          <w:rFonts w:ascii="Arial" w:hAnsi="Arial"/>
        </w:rPr>
        <w:t>: Fre</w:t>
      </w:r>
      <w:r>
        <w:rPr>
          <w:rFonts w:ascii="Arial" w:hAnsi="Arial"/>
        </w:rPr>
        <w:t>shly purchased chicken drumsticks were cleaned of flesh and placed in either 70% ethanol, 10% buffered formalin or wrapped with gauze soaked in HBSS and stored at -20˚C for 1, 7, 14, 30, 42 and 60 days, or tested on the Biodent Hfc device immediately (base</w:t>
      </w:r>
      <w:r>
        <w:rPr>
          <w:rFonts w:ascii="Arial" w:hAnsi="Arial"/>
        </w:rPr>
        <w:t xml:space="preserve">line; n=3 per storage condition and time point). Each bone was analyzed five times using a protocol of 6N test force </w:t>
      </w:r>
      <w:r>
        <w:rPr>
          <w:rFonts w:ascii="Arial" w:hAnsi="Arial"/>
        </w:rPr>
        <w:lastRenderedPageBreak/>
        <w:t>at a frequency of 2Hz over 5 cycles. Microindentation measures included total indentation distance (TID) and indentation distance increment</w:t>
      </w:r>
      <w:r>
        <w:rPr>
          <w:rFonts w:ascii="Arial" w:hAnsi="Arial"/>
        </w:rPr>
        <w:t xml:space="preserve"> between 1st and last cycle (IDI), which relate to fracture propagation and toughness, and average loading and unloading slopes (Avg US and Avg LS), which relate to elastic properties.</w:t>
      </w:r>
    </w:p>
    <w:p w:rsidR="00F72472" w:rsidRDefault="00F9656A">
      <w:pPr>
        <w:spacing w:line="480" w:lineRule="auto"/>
        <w:jc w:val="both"/>
      </w:pPr>
      <w:r>
        <w:rPr>
          <w:rFonts w:ascii="Arial" w:hAnsi="Arial"/>
          <w:b/>
        </w:rPr>
        <w:t>Results</w:t>
      </w:r>
      <w:r>
        <w:rPr>
          <w:rFonts w:ascii="Arial" w:hAnsi="Arial"/>
        </w:rPr>
        <w:t>: There were no significant differences in any of the microinden</w:t>
      </w:r>
      <w:r>
        <w:rPr>
          <w:rFonts w:ascii="Arial" w:hAnsi="Arial"/>
        </w:rPr>
        <w:t>tation measures following storage compared with baseline measures.</w:t>
      </w:r>
    </w:p>
    <w:p w:rsidR="00F72472" w:rsidRDefault="00F9656A">
      <w:pPr>
        <w:spacing w:line="480" w:lineRule="auto"/>
        <w:jc w:val="both"/>
      </w:pPr>
      <w:r>
        <w:rPr>
          <w:rFonts w:ascii="Arial" w:hAnsi="Arial"/>
          <w:b/>
        </w:rPr>
        <w:t xml:space="preserve">Conclusions: </w:t>
      </w:r>
      <w:r>
        <w:rPr>
          <w:rFonts w:ascii="Arial" w:hAnsi="Arial"/>
        </w:rPr>
        <w:t xml:space="preserve">Our results suggest </w:t>
      </w:r>
      <w:r>
        <w:rPr>
          <w:rFonts w:ascii="Arial" w:hAnsi="Arial"/>
        </w:rPr>
        <w:t>that storage of specimens under a variety of conditions for up to 60 days does not significantly alter the</w:t>
      </w:r>
      <w:r>
        <w:rPr>
          <w:rFonts w:ascii="Arial" w:hAnsi="Arial"/>
          <w:b/>
        </w:rPr>
        <w:t xml:space="preserve"> </w:t>
      </w:r>
      <w:r>
        <w:rPr>
          <w:rFonts w:ascii="Arial" w:hAnsi="Arial"/>
        </w:rPr>
        <w:t>microindentation properties of bones. However, ou</w:t>
      </w:r>
      <w:r>
        <w:rPr>
          <w:rFonts w:ascii="Arial" w:hAnsi="Arial"/>
        </w:rPr>
        <w:t>r interpretation is cautious as we observed large inter-individual variations in some properties that could mask biologically significant effects of storage.</w:t>
      </w:r>
    </w:p>
    <w:sectPr w:rsidR="00F72472">
      <w:pgSz w:w="12240" w:h="15840"/>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F72472"/>
    <w:rsid w:val="00556E54"/>
    <w:rsid w:val="00F72472"/>
    <w:rsid w:val="00F9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Droid Sans Fallback"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TEMILOLUWA</cp:lastModifiedBy>
  <cp:revision>3</cp:revision>
  <dcterms:created xsi:type="dcterms:W3CDTF">2013-07-21T17:47:00Z</dcterms:created>
  <dcterms:modified xsi:type="dcterms:W3CDTF">2013-07-21T17:49:00Z</dcterms:modified>
</cp:coreProperties>
</file>