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314CAA" w14:textId="325AE024" w:rsidR="00AE4A15" w:rsidRPr="00AE330B" w:rsidRDefault="00AE4A15" w:rsidP="00AE4A15">
      <w:pPr>
        <w:jc w:val="both"/>
        <w:rPr>
          <w:rFonts w:ascii="Arial Narrow" w:hAnsi="Arial Narrow"/>
          <w:b/>
        </w:rPr>
      </w:pPr>
      <w:r w:rsidRPr="00AE330B">
        <w:rPr>
          <w:rFonts w:ascii="Arial Narrow" w:hAnsi="Arial Narrow"/>
          <w:b/>
        </w:rPr>
        <w:t>Diagn</w:t>
      </w:r>
      <w:r w:rsidRPr="00AE330B">
        <w:rPr>
          <w:rFonts w:ascii="Arial Narrow" w:eastAsia="Helvetica" w:hAnsi="Arial Narrow" w:cs="Helvetica"/>
          <w:b/>
        </w:rPr>
        <w:t>óstico, caracterización molecular y regionalización de virus y viroides de gran impacto para el sector citrícola nacional</w:t>
      </w:r>
      <w:r w:rsidRPr="00AE330B">
        <w:rPr>
          <w:rFonts w:ascii="Arial Narrow" w:hAnsi="Arial Narrow"/>
          <w:b/>
        </w:rPr>
        <w:t>: Resultados del proyecto FPTA 310</w:t>
      </w:r>
      <w:r w:rsidR="0098132F">
        <w:rPr>
          <w:rFonts w:ascii="Arial Narrow" w:hAnsi="Arial Narrow"/>
          <w:b/>
        </w:rPr>
        <w:t>.</w:t>
      </w:r>
    </w:p>
    <w:p w14:paraId="343983B2" w14:textId="77777777" w:rsidR="00AE4A15" w:rsidRPr="00183A33" w:rsidRDefault="00AE4A15" w:rsidP="00C81424">
      <w:pPr>
        <w:jc w:val="both"/>
        <w:rPr>
          <w:rFonts w:ascii="Arial Narrow" w:hAnsi="Arial Narrow"/>
          <w:b/>
          <w:lang w:val="es-ES"/>
        </w:rPr>
      </w:pPr>
    </w:p>
    <w:p w14:paraId="3F1B135E" w14:textId="6A5D910D" w:rsidR="00384839" w:rsidRPr="00183A33" w:rsidRDefault="00183A33" w:rsidP="00C81424">
      <w:pPr>
        <w:spacing w:after="120"/>
        <w:jc w:val="both"/>
        <w:rPr>
          <w:rFonts w:ascii="Arial Narrow" w:hAnsi="Arial Narrow"/>
          <w:lang w:val="es-ES"/>
        </w:rPr>
      </w:pPr>
      <w:r w:rsidRPr="00183A33">
        <w:rPr>
          <w:rFonts w:ascii="Arial Narrow" w:hAnsi="Arial Narrow"/>
          <w:lang w:val="es-ES"/>
        </w:rPr>
        <w:t>María José Benítez-Galeano</w:t>
      </w:r>
      <w:r w:rsidRPr="00183A33">
        <w:rPr>
          <w:rFonts w:ascii="Arial Narrow" w:hAnsi="Arial Narrow"/>
          <w:vertAlign w:val="superscript"/>
          <w:lang w:val="es-ES"/>
        </w:rPr>
        <w:t>1</w:t>
      </w:r>
      <w:r w:rsidRPr="00183A33">
        <w:rPr>
          <w:rFonts w:ascii="Arial Narrow" w:hAnsi="Arial Narrow"/>
          <w:lang w:val="es-ES"/>
        </w:rPr>
        <w:t>, Estefani Bertoni</w:t>
      </w:r>
      <w:r w:rsidRPr="00183A33">
        <w:rPr>
          <w:rFonts w:ascii="Arial Narrow" w:hAnsi="Arial Narrow"/>
          <w:vertAlign w:val="superscript"/>
          <w:lang w:val="es-ES"/>
        </w:rPr>
        <w:t>1</w:t>
      </w:r>
      <w:r w:rsidRPr="00183A33">
        <w:rPr>
          <w:rFonts w:ascii="Arial Narrow" w:hAnsi="Arial Narrow"/>
          <w:lang w:val="es-ES"/>
        </w:rPr>
        <w:t>, Federico Dalmao</w:t>
      </w:r>
      <w:r w:rsidRPr="00183A33">
        <w:rPr>
          <w:rFonts w:ascii="Arial Narrow" w:hAnsi="Arial Narrow"/>
          <w:vertAlign w:val="superscript"/>
          <w:lang w:val="es-ES"/>
        </w:rPr>
        <w:t>2</w:t>
      </w:r>
      <w:r w:rsidRPr="00183A33">
        <w:rPr>
          <w:rFonts w:ascii="Arial Narrow" w:hAnsi="Arial Narrow"/>
          <w:lang w:val="es-ES"/>
        </w:rPr>
        <w:t>, Ana Bertalmío</w:t>
      </w:r>
      <w:r w:rsidRPr="00183A33">
        <w:rPr>
          <w:rFonts w:ascii="Arial Narrow" w:hAnsi="Arial Narrow"/>
          <w:vertAlign w:val="superscript"/>
          <w:lang w:val="es-ES"/>
        </w:rPr>
        <w:t>3</w:t>
      </w:r>
      <w:r w:rsidRPr="00183A33">
        <w:rPr>
          <w:rFonts w:ascii="Arial Narrow" w:hAnsi="Arial Narrow"/>
          <w:lang w:val="es-ES"/>
        </w:rPr>
        <w:t>, Leticia Rubio</w:t>
      </w:r>
      <w:r w:rsidRPr="00183A33">
        <w:rPr>
          <w:rFonts w:ascii="Arial Narrow" w:hAnsi="Arial Narrow"/>
          <w:vertAlign w:val="superscript"/>
          <w:lang w:val="es-ES"/>
        </w:rPr>
        <w:t>3</w:t>
      </w:r>
      <w:r w:rsidRPr="00183A33">
        <w:rPr>
          <w:rFonts w:ascii="Arial Narrow" w:hAnsi="Arial Narrow"/>
          <w:lang w:val="es-ES"/>
        </w:rPr>
        <w:t>, Diego Maeso</w:t>
      </w:r>
      <w:r w:rsidRPr="00183A33">
        <w:rPr>
          <w:rFonts w:ascii="Arial Narrow" w:hAnsi="Arial Narrow"/>
          <w:vertAlign w:val="superscript"/>
          <w:lang w:val="es-ES"/>
        </w:rPr>
        <w:t>3</w:t>
      </w:r>
      <w:r w:rsidRPr="00183A33">
        <w:rPr>
          <w:rFonts w:ascii="Arial Narrow" w:hAnsi="Arial Narrow"/>
          <w:lang w:val="es-ES"/>
        </w:rPr>
        <w:t>, Fernando Rivas</w:t>
      </w:r>
      <w:r w:rsidRPr="00183A33">
        <w:rPr>
          <w:rFonts w:ascii="Arial Narrow" w:hAnsi="Arial Narrow"/>
          <w:vertAlign w:val="superscript"/>
          <w:lang w:val="es-ES"/>
        </w:rPr>
        <w:t>3</w:t>
      </w:r>
      <w:r w:rsidRPr="00183A33">
        <w:rPr>
          <w:rFonts w:ascii="Arial Narrow" w:hAnsi="Arial Narrow"/>
          <w:lang w:val="es-ES"/>
        </w:rPr>
        <w:t xml:space="preserve"> y Rodney Colina</w:t>
      </w:r>
      <w:r w:rsidRPr="00183A33">
        <w:rPr>
          <w:rFonts w:ascii="Arial Narrow" w:hAnsi="Arial Narrow"/>
          <w:vertAlign w:val="superscript"/>
          <w:lang w:val="es-ES"/>
        </w:rPr>
        <w:t>1¥</w:t>
      </w:r>
      <w:r w:rsidRPr="00183A33">
        <w:rPr>
          <w:rFonts w:ascii="Arial Narrow" w:hAnsi="Arial Narrow"/>
          <w:lang w:val="es-ES"/>
        </w:rPr>
        <w:t>.</w:t>
      </w:r>
    </w:p>
    <w:p w14:paraId="0CC2D6FE" w14:textId="51B0453F" w:rsidR="00384839" w:rsidRPr="00406485" w:rsidRDefault="00183A33" w:rsidP="00C81424">
      <w:pPr>
        <w:jc w:val="both"/>
        <w:rPr>
          <w:rFonts w:ascii="Arial Narrow" w:hAnsi="Arial Narrow"/>
          <w:i/>
          <w:sz w:val="21"/>
          <w:szCs w:val="21"/>
          <w:lang w:val="es-ES"/>
        </w:rPr>
      </w:pPr>
      <w:r w:rsidRPr="00406485">
        <w:rPr>
          <w:rFonts w:ascii="Arial Narrow" w:hAnsi="Arial Narrow"/>
          <w:i/>
          <w:sz w:val="21"/>
          <w:szCs w:val="21"/>
          <w:lang w:val="es-ES"/>
        </w:rPr>
        <w:t>1. Laboratorio de Virolog</w:t>
      </w:r>
      <w:r w:rsidRPr="00406485">
        <w:rPr>
          <w:rFonts w:ascii="Arial Narrow" w:eastAsia="Helvetica" w:hAnsi="Arial Narrow" w:cs="Helvetica"/>
          <w:i/>
          <w:sz w:val="21"/>
          <w:szCs w:val="21"/>
          <w:lang w:val="es-ES"/>
        </w:rPr>
        <w:t>í</w:t>
      </w:r>
      <w:r w:rsidRPr="00406485">
        <w:rPr>
          <w:rFonts w:ascii="Arial Narrow" w:hAnsi="Arial Narrow"/>
          <w:i/>
          <w:sz w:val="21"/>
          <w:szCs w:val="21"/>
          <w:lang w:val="es-ES"/>
        </w:rPr>
        <w:t>a Molecular, CENUR Litoral Norte, Salto, Universidad de la Rep</w:t>
      </w:r>
      <w:r w:rsidRPr="00406485">
        <w:rPr>
          <w:rFonts w:ascii="Arial Narrow" w:eastAsia="Helvetica" w:hAnsi="Arial Narrow" w:cs="Helvetica"/>
          <w:i/>
          <w:sz w:val="21"/>
          <w:szCs w:val="21"/>
          <w:lang w:val="es-ES"/>
        </w:rPr>
        <w:t>ú</w:t>
      </w:r>
      <w:r w:rsidRPr="00406485">
        <w:rPr>
          <w:rFonts w:ascii="Arial Narrow" w:hAnsi="Arial Narrow"/>
          <w:i/>
          <w:sz w:val="21"/>
          <w:szCs w:val="21"/>
          <w:lang w:val="es-ES"/>
        </w:rPr>
        <w:t>blica.</w:t>
      </w:r>
    </w:p>
    <w:p w14:paraId="556FE7D8" w14:textId="1CC34854" w:rsidR="00183A33" w:rsidRPr="00406485" w:rsidRDefault="00183A33" w:rsidP="00C81424">
      <w:pPr>
        <w:jc w:val="both"/>
        <w:rPr>
          <w:rFonts w:ascii="Arial Narrow" w:hAnsi="Arial Narrow"/>
          <w:i/>
          <w:sz w:val="21"/>
          <w:szCs w:val="21"/>
          <w:lang w:val="es-ES"/>
        </w:rPr>
      </w:pPr>
      <w:r w:rsidRPr="00406485">
        <w:rPr>
          <w:rFonts w:ascii="Arial Narrow" w:hAnsi="Arial Narrow"/>
          <w:i/>
          <w:sz w:val="21"/>
          <w:szCs w:val="21"/>
          <w:lang w:val="es-ES"/>
        </w:rPr>
        <w:t>2. Departamento de Matem</w:t>
      </w:r>
      <w:r w:rsidRPr="00406485">
        <w:rPr>
          <w:rFonts w:ascii="Arial Narrow" w:eastAsia="Helvetica" w:hAnsi="Arial Narrow" w:cs="Helvetica"/>
          <w:i/>
          <w:sz w:val="21"/>
          <w:szCs w:val="21"/>
          <w:lang w:val="es-ES"/>
        </w:rPr>
        <w:t>á</w:t>
      </w:r>
      <w:r w:rsidRPr="00406485">
        <w:rPr>
          <w:rFonts w:ascii="Arial Narrow" w:hAnsi="Arial Narrow"/>
          <w:i/>
          <w:sz w:val="21"/>
          <w:szCs w:val="21"/>
          <w:lang w:val="es-ES"/>
        </w:rPr>
        <w:t>tica y Estad</w:t>
      </w:r>
      <w:r w:rsidRPr="00406485">
        <w:rPr>
          <w:rFonts w:ascii="Arial Narrow" w:eastAsia="Helvetica" w:hAnsi="Arial Narrow" w:cs="Helvetica"/>
          <w:i/>
          <w:sz w:val="21"/>
          <w:szCs w:val="21"/>
          <w:lang w:val="es-ES"/>
        </w:rPr>
        <w:t>í</w:t>
      </w:r>
      <w:r w:rsidRPr="00406485">
        <w:rPr>
          <w:rFonts w:ascii="Arial Narrow" w:hAnsi="Arial Narrow"/>
          <w:i/>
          <w:sz w:val="21"/>
          <w:szCs w:val="21"/>
          <w:lang w:val="es-ES"/>
        </w:rPr>
        <w:t>stica del Litor</w:t>
      </w:r>
      <w:r w:rsidR="004C2435" w:rsidRPr="00406485">
        <w:rPr>
          <w:rFonts w:ascii="Arial Narrow" w:hAnsi="Arial Narrow"/>
          <w:i/>
          <w:sz w:val="21"/>
          <w:szCs w:val="21"/>
          <w:lang w:val="es-ES"/>
        </w:rPr>
        <w:t xml:space="preserve">al, CENUR Litoral Norte, Salto, </w:t>
      </w:r>
      <w:r w:rsidRPr="00406485">
        <w:rPr>
          <w:rFonts w:ascii="Arial Narrow" w:hAnsi="Arial Narrow"/>
          <w:i/>
          <w:sz w:val="21"/>
          <w:szCs w:val="21"/>
          <w:lang w:val="es-ES"/>
        </w:rPr>
        <w:t>Universidad de la Rep</w:t>
      </w:r>
      <w:r w:rsidRPr="00406485">
        <w:rPr>
          <w:rFonts w:ascii="Arial Narrow" w:eastAsia="Helvetica" w:hAnsi="Arial Narrow" w:cs="Helvetica"/>
          <w:i/>
          <w:sz w:val="21"/>
          <w:szCs w:val="21"/>
          <w:lang w:val="es-ES"/>
        </w:rPr>
        <w:t>ú</w:t>
      </w:r>
      <w:r w:rsidRPr="00406485">
        <w:rPr>
          <w:rFonts w:ascii="Arial Narrow" w:hAnsi="Arial Narrow"/>
          <w:i/>
          <w:sz w:val="21"/>
          <w:szCs w:val="21"/>
          <w:lang w:val="es-ES"/>
        </w:rPr>
        <w:t>blica.</w:t>
      </w:r>
    </w:p>
    <w:p w14:paraId="631C9535" w14:textId="4188BEE1" w:rsidR="00183A33" w:rsidRDefault="00183A33" w:rsidP="00C81424">
      <w:pPr>
        <w:jc w:val="both"/>
        <w:rPr>
          <w:rFonts w:ascii="Arial Narrow" w:hAnsi="Arial Narrow"/>
          <w:i/>
          <w:iCs/>
          <w:sz w:val="21"/>
          <w:szCs w:val="21"/>
          <w:lang w:val="es-UY"/>
        </w:rPr>
      </w:pPr>
      <w:r w:rsidRPr="00406485">
        <w:rPr>
          <w:rFonts w:ascii="Arial Narrow" w:hAnsi="Arial Narrow"/>
          <w:i/>
          <w:sz w:val="21"/>
          <w:szCs w:val="21"/>
          <w:lang w:val="es-ES"/>
        </w:rPr>
        <w:t xml:space="preserve">3. </w:t>
      </w:r>
      <w:r w:rsidR="00406485" w:rsidRPr="00406485">
        <w:rPr>
          <w:rFonts w:ascii="Arial Narrow" w:hAnsi="Arial Narrow"/>
          <w:i/>
          <w:iCs/>
          <w:sz w:val="21"/>
          <w:szCs w:val="21"/>
          <w:lang w:val="es-UY"/>
        </w:rPr>
        <w:t>Programa Nacional de Investigación en Producción Citrícola, Instituto Nacional de Investigac</w:t>
      </w:r>
      <w:r w:rsidR="00406485">
        <w:rPr>
          <w:rFonts w:ascii="Arial Narrow" w:hAnsi="Arial Narrow"/>
          <w:i/>
          <w:iCs/>
          <w:sz w:val="21"/>
          <w:szCs w:val="21"/>
          <w:lang w:val="es-UY"/>
        </w:rPr>
        <w:t>ión Agrop</w:t>
      </w:r>
      <w:r w:rsidR="00C81424">
        <w:rPr>
          <w:rFonts w:ascii="Arial Narrow" w:hAnsi="Arial Narrow"/>
          <w:i/>
          <w:iCs/>
          <w:sz w:val="21"/>
          <w:szCs w:val="21"/>
          <w:lang w:val="es-UY"/>
        </w:rPr>
        <w:t>ecuaria</w:t>
      </w:r>
      <w:r w:rsidR="00406485" w:rsidRPr="00406485">
        <w:rPr>
          <w:rFonts w:ascii="Arial Narrow" w:hAnsi="Arial Narrow"/>
          <w:i/>
          <w:iCs/>
          <w:sz w:val="21"/>
          <w:szCs w:val="21"/>
          <w:lang w:val="es-UY"/>
        </w:rPr>
        <w:t>.</w:t>
      </w:r>
    </w:p>
    <w:p w14:paraId="07C37D17" w14:textId="2CB6633E" w:rsidR="00406485" w:rsidRPr="00C81424" w:rsidRDefault="00406485" w:rsidP="00C81424">
      <w:pPr>
        <w:jc w:val="both"/>
        <w:rPr>
          <w:rFonts w:ascii="Arial Narrow" w:hAnsi="Arial Narrow"/>
          <w:iCs/>
          <w:sz w:val="21"/>
          <w:szCs w:val="21"/>
          <w:lang w:val="es-UY"/>
        </w:rPr>
      </w:pPr>
      <w:r w:rsidRPr="00C81424">
        <w:rPr>
          <w:rFonts w:ascii="Arial Narrow" w:hAnsi="Arial Narrow"/>
          <w:iCs/>
          <w:sz w:val="21"/>
          <w:szCs w:val="21"/>
          <w:lang w:val="es-UY"/>
        </w:rPr>
        <w:t>¥ Correspondencia para: rodneycolina1@gmail.com</w:t>
      </w:r>
    </w:p>
    <w:p w14:paraId="29BE7995" w14:textId="77777777" w:rsidR="00384839" w:rsidRPr="00183A33" w:rsidRDefault="00384839" w:rsidP="00C81424">
      <w:pPr>
        <w:jc w:val="both"/>
        <w:rPr>
          <w:rFonts w:ascii="Arial Narrow" w:hAnsi="Arial Narrow"/>
          <w:lang w:val="es-ES"/>
        </w:rPr>
      </w:pPr>
    </w:p>
    <w:p w14:paraId="6A5B311B" w14:textId="77777777" w:rsidR="00550ECB" w:rsidRDefault="00550ECB" w:rsidP="00C81424">
      <w:pPr>
        <w:jc w:val="both"/>
        <w:rPr>
          <w:rFonts w:ascii="Arial Narrow" w:hAnsi="Arial Narrow"/>
        </w:rPr>
      </w:pPr>
      <w:r>
        <w:rPr>
          <w:rFonts w:ascii="Arial Narrow" w:hAnsi="Arial Narrow"/>
        </w:rPr>
        <w:t>INTRODUCCIÓN</w:t>
      </w:r>
    </w:p>
    <w:p w14:paraId="4E45E619" w14:textId="4FF080D0" w:rsidR="00550ECB" w:rsidRDefault="00384839" w:rsidP="00C81424">
      <w:pPr>
        <w:jc w:val="both"/>
        <w:rPr>
          <w:rFonts w:ascii="Arial Narrow" w:hAnsi="Arial Narrow"/>
        </w:rPr>
      </w:pPr>
      <w:r w:rsidRPr="00183A33">
        <w:rPr>
          <w:rFonts w:ascii="Arial Narrow" w:hAnsi="Arial Narrow"/>
        </w:rPr>
        <w:t>Los c</w:t>
      </w:r>
      <w:r w:rsidRPr="00183A33">
        <w:rPr>
          <w:rFonts w:ascii="Arial Narrow" w:eastAsia="Helvetica" w:hAnsi="Arial Narrow" w:cs="Helvetica"/>
        </w:rPr>
        <w:t>ítricos son el cultivo frutal más importante a nivel económico en el mundo. En el Uruguay la citricultura es un rubro con fuerte impacto socio-económico y constit</w:t>
      </w:r>
      <w:r w:rsidRPr="00183A33">
        <w:rPr>
          <w:rFonts w:ascii="Arial Narrow" w:hAnsi="Arial Narrow"/>
        </w:rPr>
        <w:t>uye un sector exportador en expansi</w:t>
      </w:r>
      <w:r w:rsidRPr="00183A33">
        <w:rPr>
          <w:rFonts w:ascii="Arial Narrow" w:eastAsia="Helvetica" w:hAnsi="Arial Narrow" w:cs="Helvetica"/>
        </w:rPr>
        <w:t>ón, el de mayor importancia dentro de</w:t>
      </w:r>
      <w:r w:rsidR="00A03865">
        <w:rPr>
          <w:rFonts w:ascii="Arial Narrow" w:eastAsia="Helvetica" w:hAnsi="Arial Narrow" w:cs="Helvetica"/>
        </w:rPr>
        <w:t>l área hortifrutícola. El</w:t>
      </w:r>
      <w:r w:rsidRPr="00183A33">
        <w:rPr>
          <w:rFonts w:ascii="Arial Narrow" w:eastAsia="Helvetica" w:hAnsi="Arial Narrow" w:cs="Helvetica"/>
        </w:rPr>
        <w:t xml:space="preserve"> litoral norte </w:t>
      </w:r>
      <w:r w:rsidR="00A03865">
        <w:rPr>
          <w:rFonts w:ascii="Arial Narrow" w:eastAsia="Helvetica" w:hAnsi="Arial Narrow" w:cs="Helvetica"/>
        </w:rPr>
        <w:t xml:space="preserve">del país </w:t>
      </w:r>
      <w:r w:rsidRPr="00183A33">
        <w:rPr>
          <w:rFonts w:ascii="Arial Narrow" w:eastAsia="Helvetica" w:hAnsi="Arial Narrow" w:cs="Helvetica"/>
        </w:rPr>
        <w:t xml:space="preserve">es la </w:t>
      </w:r>
      <w:r w:rsidR="00A03865">
        <w:rPr>
          <w:rFonts w:ascii="Arial Narrow" w:eastAsia="Helvetica" w:hAnsi="Arial Narrow" w:cs="Helvetica"/>
        </w:rPr>
        <w:t xml:space="preserve">región </w:t>
      </w:r>
      <w:r w:rsidRPr="00183A33">
        <w:rPr>
          <w:rFonts w:ascii="Arial Narrow" w:eastAsia="Helvetica" w:hAnsi="Arial Narrow" w:cs="Helvetica"/>
        </w:rPr>
        <w:t>de mayor producción con un 83% de la superficie total cultivada, concentrando el 90% de la producción de naranja, mandarina y pomel</w:t>
      </w:r>
      <w:r w:rsidRPr="00183A33">
        <w:rPr>
          <w:rFonts w:ascii="Arial Narrow" w:hAnsi="Arial Narrow"/>
        </w:rPr>
        <w:t xml:space="preserve">o. Por otro lado, la zona sur </w:t>
      </w:r>
      <w:r w:rsidR="00A03865">
        <w:rPr>
          <w:rFonts w:ascii="Arial Narrow" w:hAnsi="Arial Narrow"/>
        </w:rPr>
        <w:t xml:space="preserve">presenta </w:t>
      </w:r>
      <w:r w:rsidRPr="00183A33">
        <w:rPr>
          <w:rFonts w:ascii="Arial Narrow" w:hAnsi="Arial Narrow"/>
        </w:rPr>
        <w:t xml:space="preserve">el 17% </w:t>
      </w:r>
      <w:r w:rsidR="00A03865">
        <w:rPr>
          <w:rFonts w:ascii="Arial Narrow" w:hAnsi="Arial Narrow"/>
        </w:rPr>
        <w:t xml:space="preserve">de su superficie total cultivada </w:t>
      </w:r>
      <w:r w:rsidRPr="00183A33">
        <w:rPr>
          <w:rFonts w:ascii="Arial Narrow" w:hAnsi="Arial Narrow"/>
        </w:rPr>
        <w:t>y genera el 70% de la producci</w:t>
      </w:r>
      <w:r w:rsidRPr="00183A33">
        <w:rPr>
          <w:rFonts w:ascii="Arial Narrow" w:eastAsia="Helvetica" w:hAnsi="Arial Narrow" w:cs="Helvetica"/>
        </w:rPr>
        <w:t>ón de limón. Desde el punto de vista comercial, la naranja constituye el 51.3% de la producción citrícola nacional y representa el 55% de las exportaciones, seguido de mandarina y l</w:t>
      </w:r>
      <w:r w:rsidRPr="00183A33">
        <w:rPr>
          <w:rFonts w:ascii="Arial Narrow" w:hAnsi="Arial Narrow"/>
        </w:rPr>
        <w:t>im</w:t>
      </w:r>
      <w:r w:rsidRPr="00183A33">
        <w:rPr>
          <w:rFonts w:ascii="Arial Narrow" w:eastAsia="Helvetica" w:hAnsi="Arial Narrow" w:cs="Helvetica"/>
        </w:rPr>
        <w:t>ón, con un 32% y 13%</w:t>
      </w:r>
      <w:r w:rsidR="00967938">
        <w:rPr>
          <w:rFonts w:ascii="Arial Narrow" w:eastAsia="Helvetica" w:hAnsi="Arial Narrow" w:cs="Helvetica"/>
        </w:rPr>
        <w:t xml:space="preserve"> de las exportaciones</w:t>
      </w:r>
      <w:r w:rsidRPr="00183A33">
        <w:rPr>
          <w:rFonts w:ascii="Arial Narrow" w:eastAsia="Helvetica" w:hAnsi="Arial Narrow" w:cs="Helvetica"/>
        </w:rPr>
        <w:t xml:space="preserve">, respectivamente. Se percibe un ingreso aproximado de 85 millones de dólares anuales por concepto de dichas exportaciones. </w:t>
      </w:r>
      <w:r w:rsidR="00A03865">
        <w:rPr>
          <w:rFonts w:ascii="Arial Narrow" w:eastAsia="Helvetica" w:hAnsi="Arial Narrow" w:cs="Helvetica"/>
        </w:rPr>
        <w:t>Sin embargo, l</w:t>
      </w:r>
      <w:r w:rsidRPr="00183A33">
        <w:rPr>
          <w:rFonts w:ascii="Arial Narrow" w:eastAsia="Helvetica" w:hAnsi="Arial Narrow" w:cs="Helvetica"/>
        </w:rPr>
        <w:t>as distintas especies de cítricos son susceptibles a numerosas enfermedades causadas por diversos microorgan</w:t>
      </w:r>
      <w:r w:rsidRPr="00183A33">
        <w:rPr>
          <w:rFonts w:ascii="Arial Narrow" w:hAnsi="Arial Narrow"/>
        </w:rPr>
        <w:t>ismos, entre los que est</w:t>
      </w:r>
      <w:r w:rsidRPr="00183A33">
        <w:rPr>
          <w:rFonts w:ascii="Arial Narrow" w:eastAsia="Helvetica" w:hAnsi="Arial Narrow" w:cs="Helvetica"/>
        </w:rPr>
        <w:t xml:space="preserve">án los virus y viroides, cuya consecuencia directa es la disminución en la producción, lo que provoca enormes pérdidas económicas en todas las zonas afectadas del mundo. </w:t>
      </w:r>
      <w:r w:rsidR="00550ECB">
        <w:rPr>
          <w:rFonts w:ascii="Arial Narrow" w:eastAsia="Helvetica" w:hAnsi="Arial Narrow" w:cs="Helvetica"/>
        </w:rPr>
        <w:t>L</w:t>
      </w:r>
      <w:r w:rsidR="00550ECB" w:rsidRPr="00550ECB">
        <w:rPr>
          <w:rFonts w:ascii="Arial Narrow" w:eastAsia="Helvetica" w:hAnsi="Arial Narrow" w:cs="Helvetica"/>
        </w:rPr>
        <w:t>as enfermedades de mayor importanc</w:t>
      </w:r>
      <w:r w:rsidR="00550ECB">
        <w:rPr>
          <w:rFonts w:ascii="Arial Narrow" w:eastAsia="Helvetica" w:hAnsi="Arial Narrow" w:cs="Helvetica"/>
        </w:rPr>
        <w:t xml:space="preserve">ia son aquellas cuya vía </w:t>
      </w:r>
      <w:r w:rsidR="00550ECB" w:rsidRPr="00550ECB">
        <w:rPr>
          <w:rFonts w:ascii="Arial Narrow" w:eastAsia="Helvetica" w:hAnsi="Arial Narrow" w:cs="Helvetica"/>
        </w:rPr>
        <w:t>de tran</w:t>
      </w:r>
      <w:r w:rsidR="00550ECB">
        <w:rPr>
          <w:rFonts w:ascii="Arial Narrow" w:eastAsia="Helvetica" w:hAnsi="Arial Narrow" w:cs="Helvetica"/>
        </w:rPr>
        <w:t>smisión es el injerto, siendo l</w:t>
      </w:r>
      <w:r w:rsidR="00550ECB" w:rsidRPr="00550ECB">
        <w:rPr>
          <w:rFonts w:ascii="Arial Narrow" w:eastAsia="Helvetica" w:hAnsi="Arial Narrow" w:cs="Helvetica"/>
        </w:rPr>
        <w:t>os agentes responsables parásitos intracelulares tales cómo virus y viroides, que se propagan junto c</w:t>
      </w:r>
      <w:r w:rsidR="00550ECB">
        <w:rPr>
          <w:rFonts w:ascii="Arial Narrow" w:eastAsia="Helvetica" w:hAnsi="Arial Narrow" w:cs="Helvetica"/>
        </w:rPr>
        <w:t xml:space="preserve">on el material vegetal. Existen </w:t>
      </w:r>
      <w:r w:rsidR="00550ECB" w:rsidRPr="00550ECB">
        <w:rPr>
          <w:rFonts w:ascii="Arial Narrow" w:eastAsia="Helvetica" w:hAnsi="Arial Narrow" w:cs="Helvetica"/>
        </w:rPr>
        <w:t>diver</w:t>
      </w:r>
      <w:r w:rsidR="00550ECB">
        <w:rPr>
          <w:rFonts w:ascii="Arial Narrow" w:eastAsia="Helvetica" w:hAnsi="Arial Narrow" w:cs="Helvetica"/>
        </w:rPr>
        <w:t xml:space="preserve">sas enfermedades provocadas por este tipo de </w:t>
      </w:r>
      <w:r w:rsidR="00550ECB" w:rsidRPr="00550ECB">
        <w:rPr>
          <w:rFonts w:ascii="Arial Narrow" w:eastAsia="Helvetica" w:hAnsi="Arial Narrow" w:cs="Helvetica"/>
        </w:rPr>
        <w:t xml:space="preserve">patógenos </w:t>
      </w:r>
      <w:r w:rsidR="00550ECB">
        <w:rPr>
          <w:rFonts w:ascii="Arial Narrow" w:eastAsia="Helvetica" w:hAnsi="Arial Narrow" w:cs="Helvetica"/>
        </w:rPr>
        <w:t>que afectan a los cítricos, causando grandes pérdidas ec</w:t>
      </w:r>
      <w:r w:rsidR="00550ECB" w:rsidRPr="00550ECB">
        <w:rPr>
          <w:rFonts w:ascii="Arial Narrow" w:eastAsia="Helvetica" w:hAnsi="Arial Narrow" w:cs="Helvetica"/>
        </w:rPr>
        <w:t>onómicas que se estiman en el orden del 30% de la producción citríco</w:t>
      </w:r>
      <w:r w:rsidR="00550ECB">
        <w:rPr>
          <w:rFonts w:ascii="Arial Narrow" w:eastAsia="Helvetica" w:hAnsi="Arial Narrow" w:cs="Helvetica"/>
        </w:rPr>
        <w:t xml:space="preserve">la nacional. Hasta el presente trabajo, el estado del arte de la citricultura en el país era desconocido. </w:t>
      </w:r>
      <w:r w:rsidRPr="00183A33">
        <w:rPr>
          <w:rFonts w:ascii="Arial Narrow" w:eastAsia="Helvetica" w:hAnsi="Arial Narrow" w:cs="Helvetica"/>
        </w:rPr>
        <w:t xml:space="preserve">Es por </w:t>
      </w:r>
      <w:r w:rsidR="00247EF4">
        <w:rPr>
          <w:rFonts w:ascii="Arial Narrow" w:eastAsia="Helvetica" w:hAnsi="Arial Narrow" w:cs="Helvetica"/>
        </w:rPr>
        <w:t xml:space="preserve">ello que </w:t>
      </w:r>
      <w:r w:rsidRPr="00183A33">
        <w:rPr>
          <w:rFonts w:ascii="Arial Narrow" w:eastAsia="Helvetica" w:hAnsi="Arial Narrow" w:cs="Helvetica"/>
        </w:rPr>
        <w:t>nos planteamos realizar</w:t>
      </w:r>
      <w:r w:rsidRPr="00183A33">
        <w:rPr>
          <w:rFonts w:ascii="Arial Narrow" w:hAnsi="Arial Narrow"/>
        </w:rPr>
        <w:t xml:space="preserve"> un exhaustivo estudio mediante la optimizaci</w:t>
      </w:r>
      <w:r w:rsidRPr="00183A33">
        <w:rPr>
          <w:rFonts w:ascii="Arial Narrow" w:eastAsia="Helvetica" w:hAnsi="Arial Narrow" w:cs="Helvetica"/>
        </w:rPr>
        <w:t xml:space="preserve">ón y posterior uso de métodos </w:t>
      </w:r>
      <w:r w:rsidR="00247EF4">
        <w:rPr>
          <w:rFonts w:ascii="Arial Narrow" w:eastAsia="Helvetica" w:hAnsi="Arial Narrow" w:cs="Helvetica"/>
        </w:rPr>
        <w:t>moleculares de alta sensibilidad</w:t>
      </w:r>
      <w:r w:rsidRPr="00183A33">
        <w:rPr>
          <w:rFonts w:ascii="Arial Narrow" w:eastAsia="Helvetica" w:hAnsi="Arial Narrow" w:cs="Helvetica"/>
        </w:rPr>
        <w:t xml:space="preserve"> a fin de establecer, en las distintas zonas citrícolas del país y en sus variedades más representativas, </w:t>
      </w:r>
      <w:r w:rsidRPr="00183A33">
        <w:rPr>
          <w:rFonts w:ascii="Arial Narrow" w:hAnsi="Arial Narrow"/>
        </w:rPr>
        <w:t>la prevalencia de los siguientes pat</w:t>
      </w:r>
      <w:r w:rsidRPr="00183A33">
        <w:rPr>
          <w:rFonts w:ascii="Arial Narrow" w:eastAsia="Helvetica" w:hAnsi="Arial Narrow" w:cs="Helvetica"/>
        </w:rPr>
        <w:t>ógenos</w:t>
      </w:r>
      <w:r w:rsidRPr="00183A33">
        <w:rPr>
          <w:rFonts w:ascii="Arial Narrow" w:hAnsi="Arial Narrow"/>
        </w:rPr>
        <w:t>: Virus de la Tristeza de los C</w:t>
      </w:r>
      <w:r w:rsidRPr="00183A33">
        <w:rPr>
          <w:rFonts w:ascii="Arial Narrow" w:eastAsia="Helvetica" w:hAnsi="Arial Narrow" w:cs="Helvetica"/>
        </w:rPr>
        <w:t>ítricos (CTV), Virus de la Psorosis de los Cítricos (CPsV), Virus Satsu</w:t>
      </w:r>
      <w:r w:rsidR="00550ECB">
        <w:rPr>
          <w:rFonts w:ascii="Arial Narrow" w:eastAsia="Helvetica" w:hAnsi="Arial Narrow" w:cs="Helvetica"/>
        </w:rPr>
        <w:t xml:space="preserve">ma Dwarf (SDV), </w:t>
      </w:r>
      <w:r w:rsidRPr="00183A33">
        <w:rPr>
          <w:rFonts w:ascii="Arial Narrow" w:eastAsia="Helvetica" w:hAnsi="Arial Narrow" w:cs="Helvetica"/>
        </w:rPr>
        <w:t>Citrus Exocortis Viroid (CEVd), Hop Stunt Viroi</w:t>
      </w:r>
      <w:r w:rsidR="00550ECB">
        <w:rPr>
          <w:rFonts w:ascii="Arial Narrow" w:eastAsia="Helvetica" w:hAnsi="Arial Narrow" w:cs="Helvetica"/>
        </w:rPr>
        <w:t>d</w:t>
      </w:r>
      <w:r w:rsidRPr="00183A33">
        <w:rPr>
          <w:rFonts w:ascii="Arial Narrow" w:eastAsia="Helvetica" w:hAnsi="Arial Narrow" w:cs="Helvetica"/>
        </w:rPr>
        <w:t xml:space="preserve"> (HSVd), Citrus Bent Leaf Viroid (CBLVd), Citrus Viroid-IV (</w:t>
      </w:r>
      <w:r w:rsidRPr="00183A33">
        <w:rPr>
          <w:rFonts w:ascii="Arial Narrow" w:hAnsi="Arial Narrow"/>
        </w:rPr>
        <w:t xml:space="preserve">CVd-IV) y Citrus Viroid-III (CVd-III). </w:t>
      </w:r>
    </w:p>
    <w:p w14:paraId="45621AC6" w14:textId="77777777" w:rsidR="000473FE" w:rsidRDefault="000473FE" w:rsidP="00C81424">
      <w:pPr>
        <w:jc w:val="both"/>
        <w:rPr>
          <w:rFonts w:ascii="Arial Narrow" w:hAnsi="Arial Narrow"/>
        </w:rPr>
      </w:pPr>
    </w:p>
    <w:p w14:paraId="1FA7F005" w14:textId="5E0D7583" w:rsidR="000473FE" w:rsidRDefault="000473FE" w:rsidP="00C81424">
      <w:pPr>
        <w:jc w:val="both"/>
        <w:rPr>
          <w:rFonts w:ascii="Arial Narrow" w:hAnsi="Arial Narrow"/>
        </w:rPr>
      </w:pPr>
      <w:r>
        <w:rPr>
          <w:rFonts w:ascii="Arial Narrow" w:hAnsi="Arial Narrow"/>
        </w:rPr>
        <w:t>MATERIALES Y MÉTODOS</w:t>
      </w:r>
    </w:p>
    <w:p w14:paraId="75637182" w14:textId="2DE3C6E0" w:rsidR="000473FE" w:rsidRDefault="000473FE" w:rsidP="00C81424">
      <w:pPr>
        <w:jc w:val="both"/>
        <w:rPr>
          <w:rFonts w:ascii="Arial Narrow" w:hAnsi="Arial Narrow"/>
        </w:rPr>
      </w:pPr>
      <w:r>
        <w:rPr>
          <w:rFonts w:ascii="Arial Narrow" w:hAnsi="Arial Narrow"/>
        </w:rPr>
        <w:t>Se colectó</w:t>
      </w:r>
      <w:r w:rsidR="00384839" w:rsidRPr="00183A33">
        <w:rPr>
          <w:rFonts w:ascii="Arial Narrow" w:hAnsi="Arial Narrow"/>
        </w:rPr>
        <w:t xml:space="preserve"> un total de 1175 muestras</w:t>
      </w:r>
      <w:r>
        <w:rPr>
          <w:rFonts w:ascii="Arial Narrow" w:hAnsi="Arial Narrow"/>
        </w:rPr>
        <w:t xml:space="preserve"> (tallos y hojas) con la siguiente distribución geográfica</w:t>
      </w:r>
      <w:r w:rsidR="00384839" w:rsidRPr="00183A33">
        <w:rPr>
          <w:rFonts w:ascii="Arial Narrow" w:hAnsi="Arial Narrow"/>
        </w:rPr>
        <w:t>: 1000 muestras de la regi</w:t>
      </w:r>
      <w:r w:rsidR="00384839" w:rsidRPr="00183A33">
        <w:rPr>
          <w:rFonts w:ascii="Arial Narrow" w:eastAsia="Helvetica" w:hAnsi="Arial Narrow" w:cs="Helvetica"/>
        </w:rPr>
        <w:t>ón norte que comprenden los departamentos de Artigas, Salto, Paysand</w:t>
      </w:r>
      <w:r>
        <w:rPr>
          <w:rFonts w:ascii="Arial Narrow" w:eastAsia="Helvetica" w:hAnsi="Arial Narrow" w:cs="Helvetica"/>
        </w:rPr>
        <w:t>ú y Río Negro y 175 mues</w:t>
      </w:r>
      <w:r w:rsidR="00384839" w:rsidRPr="00183A33">
        <w:rPr>
          <w:rFonts w:ascii="Arial Narrow" w:eastAsia="Helvetica" w:hAnsi="Arial Narrow" w:cs="Helvetica"/>
        </w:rPr>
        <w:t>tras de la región sur, que compr</w:t>
      </w:r>
      <w:r w:rsidR="00384839" w:rsidRPr="00183A33">
        <w:rPr>
          <w:rFonts w:ascii="Arial Narrow" w:hAnsi="Arial Narrow"/>
        </w:rPr>
        <w:t>ende los departamentos de San Jos</w:t>
      </w:r>
      <w:r w:rsidR="00384839" w:rsidRPr="00183A33">
        <w:rPr>
          <w:rFonts w:ascii="Arial Narrow" w:eastAsia="Helvetica" w:hAnsi="Arial Narrow" w:cs="Helvetica"/>
        </w:rPr>
        <w:t>é, Montevideo y Canelones. Las variedades colectadas fueron Navel (258) y Valencia (348) dentro de las Naranjas, haciendo un total de 606 muestras; Afourer (234) y Clementinas (183) dentro de las Mandarinas, con un total d</w:t>
      </w:r>
      <w:r w:rsidR="00384839" w:rsidRPr="00183A33">
        <w:rPr>
          <w:rFonts w:ascii="Arial Narrow" w:hAnsi="Arial Narrow"/>
        </w:rPr>
        <w:t>e 417 muestras; y 152 limones sin preferencia por alguna variedad.</w:t>
      </w:r>
      <w:r w:rsidR="00950092">
        <w:rPr>
          <w:rFonts w:ascii="Arial Narrow" w:hAnsi="Arial Narrow"/>
        </w:rPr>
        <w:t xml:space="preserve"> También se tuvo en cuenta al momento de la colecta, la edad de las plantas. Se establecieron 4 franjas etarias: </w:t>
      </w:r>
      <w:r w:rsidR="00624FA3">
        <w:rPr>
          <w:rFonts w:ascii="Arial Narrow" w:hAnsi="Arial Narrow"/>
        </w:rPr>
        <w:t>de 0 a 5 años, de 6 a 14 años</w:t>
      </w:r>
      <w:r w:rsidR="00A32BE8">
        <w:rPr>
          <w:rFonts w:ascii="Arial Narrow" w:hAnsi="Arial Narrow"/>
        </w:rPr>
        <w:t>, de 15 a 20 años y más de 20 años.</w:t>
      </w:r>
      <w:r w:rsidR="00950092">
        <w:rPr>
          <w:rFonts w:ascii="Arial Narrow" w:hAnsi="Arial Narrow"/>
        </w:rPr>
        <w:t xml:space="preserve"> </w:t>
      </w:r>
    </w:p>
    <w:p w14:paraId="0DB82E1D" w14:textId="6C3371F0" w:rsidR="000473FE" w:rsidRPr="00CF1EC5" w:rsidRDefault="00247EF4" w:rsidP="00C81424">
      <w:pPr>
        <w:jc w:val="both"/>
        <w:rPr>
          <w:rFonts w:ascii="Arial Narrow" w:eastAsia="Helvetica" w:hAnsi="Arial Narrow" w:cs="Helvetica"/>
        </w:rPr>
      </w:pPr>
      <w:r>
        <w:rPr>
          <w:rFonts w:ascii="Arial Narrow" w:hAnsi="Arial Narrow"/>
        </w:rPr>
        <w:t>El tejido fue macerado en nitrógeno líquido y l</w:t>
      </w:r>
      <w:bookmarkStart w:id="0" w:name="_GoBack"/>
      <w:bookmarkEnd w:id="0"/>
      <w:r w:rsidR="000473FE">
        <w:rPr>
          <w:rFonts w:ascii="Arial Narrow" w:hAnsi="Arial Narrow"/>
        </w:rPr>
        <w:t>a extracción del RNA total se realizó con el RNeasy Plant Mini Kit (QIAGEN) siguiendo las especificaciones del fabricante. Posteriormente se retrotranscribió el RNA con la enzima RevertAid Reverse Transcriptase (Thermo) con hexámeros randómicos y posteriormente se procedió a la detección molecular para cada patógeno.</w:t>
      </w:r>
      <w:r w:rsidR="00384839" w:rsidRPr="00183A33">
        <w:rPr>
          <w:rFonts w:ascii="Arial Narrow" w:hAnsi="Arial Narrow"/>
        </w:rPr>
        <w:t xml:space="preserve"> Se lograron optimizar todos los m</w:t>
      </w:r>
      <w:r w:rsidR="00384839" w:rsidRPr="00183A33">
        <w:rPr>
          <w:rFonts w:ascii="Arial Narrow" w:eastAsia="Helvetica" w:hAnsi="Arial Narrow" w:cs="Helvetica"/>
        </w:rPr>
        <w:t xml:space="preserve">étodos moleculares de manera exitosa para los mencionados </w:t>
      </w:r>
      <w:r w:rsidR="00384839" w:rsidRPr="00183A33">
        <w:rPr>
          <w:rFonts w:ascii="Arial Narrow" w:eastAsia="Helvetica" w:hAnsi="Arial Narrow" w:cs="Helvetica"/>
        </w:rPr>
        <w:lastRenderedPageBreak/>
        <w:t>patógenos</w:t>
      </w:r>
      <w:r w:rsidR="000473FE">
        <w:rPr>
          <w:rFonts w:ascii="Arial Narrow" w:eastAsia="Helvetica" w:hAnsi="Arial Narrow" w:cs="Helvetica"/>
        </w:rPr>
        <w:t>, todos ellos basados en la técnica de reacción en cadena de la polimerasa (PCR) tanto en tiempo final como en tiempo real</w:t>
      </w:r>
      <w:r w:rsidR="00384839" w:rsidRPr="00183A33">
        <w:rPr>
          <w:rFonts w:ascii="Arial Narrow" w:eastAsia="Helvetica" w:hAnsi="Arial Narrow" w:cs="Helvetica"/>
        </w:rPr>
        <w:t xml:space="preserve">. </w:t>
      </w:r>
      <w:r w:rsidR="000473FE">
        <w:rPr>
          <w:rFonts w:ascii="Arial Narrow" w:eastAsia="Helvetica" w:hAnsi="Arial Narrow" w:cs="Helvetica"/>
        </w:rPr>
        <w:t xml:space="preserve">Todos los viroides fueron analizados por PCR en tiempo final al igual que el virus SDV. Para </w:t>
      </w:r>
      <w:r w:rsidR="00CF1EC5">
        <w:rPr>
          <w:rFonts w:ascii="Arial Narrow" w:eastAsia="Helvetica" w:hAnsi="Arial Narrow" w:cs="Helvetica"/>
        </w:rPr>
        <w:t xml:space="preserve">la detección de </w:t>
      </w:r>
      <w:r w:rsidR="000473FE">
        <w:rPr>
          <w:rFonts w:ascii="Arial Narrow" w:eastAsia="Helvetica" w:hAnsi="Arial Narrow" w:cs="Helvetica"/>
        </w:rPr>
        <w:t xml:space="preserve">CPsV se utilizó una PCR en tiempo real con </w:t>
      </w:r>
      <w:r w:rsidR="00CF1EC5">
        <w:rPr>
          <w:rFonts w:ascii="Arial Narrow" w:eastAsia="Helvetica" w:hAnsi="Arial Narrow" w:cs="Helvetica"/>
        </w:rPr>
        <w:t>SYBR</w:t>
      </w:r>
      <w:r w:rsidR="00CF1EC5" w:rsidRPr="00CF1EC5">
        <w:rPr>
          <w:rFonts w:ascii="Arial Narrow" w:eastAsia="Helvetica" w:hAnsi="Arial Narrow" w:cs="Helvetica"/>
          <w:vertAlign w:val="superscript"/>
        </w:rPr>
        <w:t>®</w:t>
      </w:r>
      <w:r w:rsidR="00CF1EC5">
        <w:rPr>
          <w:rFonts w:ascii="Arial Narrow" w:eastAsia="Helvetica" w:hAnsi="Arial Narrow" w:cs="Helvetica"/>
        </w:rPr>
        <w:t xml:space="preserve"> con una Tm de 80ºC ± 0.5</w:t>
      </w:r>
      <w:r w:rsidR="00CF1EC5" w:rsidRPr="00CF1EC5">
        <w:rPr>
          <w:rFonts w:ascii="Arial Narrow" w:eastAsia="Helvetica" w:hAnsi="Arial Narrow" w:cs="Helvetica"/>
        </w:rPr>
        <w:t xml:space="preserve"> </w:t>
      </w:r>
      <w:r w:rsidR="00CF1EC5">
        <w:rPr>
          <w:rFonts w:ascii="Arial Narrow" w:eastAsia="Helvetica" w:hAnsi="Arial Narrow" w:cs="Helvetica"/>
        </w:rPr>
        <w:t>ºC</w:t>
      </w:r>
      <w:r w:rsidR="00CF1EC5">
        <w:rPr>
          <w:rFonts w:ascii="Arial Narrow" w:eastAsia="Helvetica" w:hAnsi="Arial Narrow" w:cs="Helvetica"/>
        </w:rPr>
        <w:t xml:space="preserve">. Por último, para la detección de CTV se estandarizó una PCR en tiempo real con tecnología TaqMan dirigida a la región 5’UTR del virus y para su posterior caracterización se amplificó la región correspondiente al gen p25 mediante PCR en tiempo final. </w:t>
      </w:r>
      <w:r w:rsidR="00950092">
        <w:rPr>
          <w:rFonts w:ascii="Arial Narrow" w:eastAsia="Helvetica" w:hAnsi="Arial Narrow" w:cs="Helvetica"/>
        </w:rPr>
        <w:t xml:space="preserve">Los productos de PCR fueron secuenciadas bidireccionalmente en Macrogen (Corea del Sur) para su posterior análisis filogenético. </w:t>
      </w:r>
    </w:p>
    <w:p w14:paraId="0B08AE36" w14:textId="77777777" w:rsidR="000473FE" w:rsidRDefault="000473FE" w:rsidP="00C81424">
      <w:pPr>
        <w:jc w:val="both"/>
        <w:rPr>
          <w:rFonts w:ascii="Arial Narrow" w:eastAsia="Helvetica" w:hAnsi="Arial Narrow" w:cs="Helvetica"/>
        </w:rPr>
      </w:pPr>
    </w:p>
    <w:p w14:paraId="67100A62" w14:textId="6D6B375A" w:rsidR="000473FE" w:rsidRDefault="000473FE" w:rsidP="00C81424">
      <w:pPr>
        <w:jc w:val="both"/>
        <w:rPr>
          <w:rFonts w:ascii="Arial Narrow" w:eastAsia="Helvetica" w:hAnsi="Arial Narrow" w:cs="Helvetica"/>
        </w:rPr>
      </w:pPr>
      <w:r>
        <w:rPr>
          <w:rFonts w:ascii="Arial Narrow" w:eastAsia="Helvetica" w:hAnsi="Arial Narrow" w:cs="Helvetica"/>
        </w:rPr>
        <w:t>RESULTADOS</w:t>
      </w:r>
    </w:p>
    <w:p w14:paraId="757D842A" w14:textId="77777777" w:rsidR="00A94516" w:rsidRDefault="00384839" w:rsidP="00C81424">
      <w:pPr>
        <w:jc w:val="both"/>
        <w:rPr>
          <w:rFonts w:ascii="Arial Narrow" w:hAnsi="Arial Narrow"/>
        </w:rPr>
      </w:pPr>
      <w:r w:rsidRPr="00183A33">
        <w:rPr>
          <w:rFonts w:ascii="Arial Narrow" w:eastAsia="Helvetica" w:hAnsi="Arial Narrow" w:cs="Helvetica"/>
        </w:rPr>
        <w:t>Los resultados muestran que para los viroides CBLVd y CVd-IV no hubo detección en ni</w:t>
      </w:r>
      <w:r w:rsidRPr="00183A33">
        <w:rPr>
          <w:rFonts w:ascii="Arial Narrow" w:hAnsi="Arial Narrow"/>
        </w:rPr>
        <w:t>nguna de las plantas analizadas, y para el viroide CEVd hubo detecci</w:t>
      </w:r>
      <w:r w:rsidRPr="00183A33">
        <w:rPr>
          <w:rFonts w:ascii="Arial Narrow" w:eastAsia="Helvetica" w:hAnsi="Arial Narrow" w:cs="Helvetica"/>
        </w:rPr>
        <w:t>ón en una única muestra. Es importante mencionar que el CVd-IV no ha sido previamente reportado en Uruguay y tampoco fue detectado en el presente estudio. Por otro lado, se detectaron 18</w:t>
      </w:r>
      <w:r w:rsidRPr="00183A33">
        <w:rPr>
          <w:rFonts w:ascii="Arial Narrow" w:hAnsi="Arial Narrow"/>
        </w:rPr>
        <w:t>3 y 42 muestras positivas para los viroides CVd-III y HSVd, representando un 15,6% y 3,6% respectivamente del total de muestras colectadas. En cuanto a los virus, el que mostr</w:t>
      </w:r>
      <w:r w:rsidRPr="00183A33">
        <w:rPr>
          <w:rFonts w:ascii="Arial Narrow" w:eastAsia="Helvetica" w:hAnsi="Arial Narrow" w:cs="Helvetica"/>
        </w:rPr>
        <w:t>ó mayor detección fue CTV, con un 93,3% de muestras positivas, lo que represen</w:t>
      </w:r>
      <w:r w:rsidRPr="00183A33">
        <w:rPr>
          <w:rFonts w:ascii="Arial Narrow" w:hAnsi="Arial Narrow"/>
        </w:rPr>
        <w:t xml:space="preserve">ta un total de 1096 muestras positivas del total analizado. Para CPsV se detectaron 529 muestras positivas lo que representa un 45% del total de las muestras colectadas. Por </w:t>
      </w:r>
      <w:r w:rsidRPr="00183A33">
        <w:rPr>
          <w:rFonts w:ascii="Arial Narrow" w:eastAsia="Helvetica" w:hAnsi="Arial Narrow" w:cs="Helvetica"/>
        </w:rPr>
        <w:t>último, para SDV no se detectó ninguna muestra positiva. Cabe destacar que al mom</w:t>
      </w:r>
      <w:r w:rsidRPr="00183A33">
        <w:rPr>
          <w:rFonts w:ascii="Arial Narrow" w:hAnsi="Arial Narrow"/>
        </w:rPr>
        <w:t xml:space="preserve">ento la presencia de este virus en Uruguay no ha sido reportada. </w:t>
      </w:r>
    </w:p>
    <w:p w14:paraId="21BCB86B" w14:textId="77777777" w:rsidR="00A94516" w:rsidRDefault="00384839" w:rsidP="00C81424">
      <w:pPr>
        <w:jc w:val="both"/>
        <w:rPr>
          <w:rFonts w:ascii="Arial Narrow" w:hAnsi="Arial Narrow"/>
        </w:rPr>
      </w:pPr>
      <w:r w:rsidRPr="00183A33">
        <w:rPr>
          <w:rFonts w:ascii="Arial Narrow" w:hAnsi="Arial Narrow"/>
        </w:rPr>
        <w:t>En cuan</w:t>
      </w:r>
      <w:r w:rsidR="00A94516">
        <w:rPr>
          <w:rFonts w:ascii="Arial Narrow" w:hAnsi="Arial Narrow"/>
        </w:rPr>
        <w:t>to a la caracterización molecular</w:t>
      </w:r>
      <w:r w:rsidRPr="00183A33">
        <w:rPr>
          <w:rFonts w:ascii="Arial Narrow" w:hAnsi="Arial Narrow"/>
        </w:rPr>
        <w:t xml:space="preserve"> de CTV </w:t>
      </w:r>
      <w:r w:rsidR="00A94516">
        <w:rPr>
          <w:rFonts w:ascii="Arial Narrow" w:hAnsi="Arial Narrow"/>
        </w:rPr>
        <w:t xml:space="preserve">basada en el gen p25 se secuenciaron 451 </w:t>
      </w:r>
      <w:r w:rsidRPr="00183A33">
        <w:rPr>
          <w:rFonts w:ascii="Arial Narrow" w:hAnsi="Arial Narrow"/>
        </w:rPr>
        <w:t xml:space="preserve">muestras </w:t>
      </w:r>
      <w:r w:rsidR="00A94516">
        <w:rPr>
          <w:rFonts w:ascii="Arial Narrow" w:hAnsi="Arial Narrow"/>
        </w:rPr>
        <w:t>y se detectó</w:t>
      </w:r>
      <w:r w:rsidRPr="00183A33">
        <w:rPr>
          <w:rFonts w:ascii="Arial Narrow" w:hAnsi="Arial Narrow"/>
        </w:rPr>
        <w:t xml:space="preserve"> </w:t>
      </w:r>
      <w:r w:rsidR="00A94516">
        <w:rPr>
          <w:rFonts w:ascii="Arial Narrow" w:hAnsi="Arial Narrow"/>
        </w:rPr>
        <w:t xml:space="preserve">la presencia de </w:t>
      </w:r>
      <w:r w:rsidRPr="00183A33">
        <w:rPr>
          <w:rFonts w:ascii="Arial Narrow" w:hAnsi="Arial Narrow"/>
        </w:rPr>
        <w:t>5 de l</w:t>
      </w:r>
      <w:r w:rsidR="00A94516">
        <w:rPr>
          <w:rFonts w:ascii="Arial Narrow" w:hAnsi="Arial Narrow"/>
        </w:rPr>
        <w:t>os 7 genotipos descritos hasta el momento. Estos fueron VT, T68, T3, RB y NC, con una elevada prevalencia de este último genotipo (87%).</w:t>
      </w:r>
      <w:r w:rsidRPr="00183A33">
        <w:rPr>
          <w:rFonts w:ascii="Arial Narrow" w:hAnsi="Arial Narrow"/>
        </w:rPr>
        <w:t xml:space="preserve"> </w:t>
      </w:r>
    </w:p>
    <w:p w14:paraId="55062302" w14:textId="77777777" w:rsidR="00A94516" w:rsidRDefault="00A94516" w:rsidP="00C81424">
      <w:pPr>
        <w:jc w:val="both"/>
        <w:rPr>
          <w:rFonts w:ascii="Arial Narrow" w:hAnsi="Arial Narrow"/>
        </w:rPr>
      </w:pPr>
    </w:p>
    <w:p w14:paraId="6779DB17" w14:textId="0E5480BF" w:rsidR="00A94516" w:rsidRDefault="00A94516" w:rsidP="00C81424">
      <w:pPr>
        <w:jc w:val="both"/>
        <w:rPr>
          <w:rFonts w:ascii="Arial Narrow" w:hAnsi="Arial Narrow"/>
        </w:rPr>
      </w:pPr>
      <w:r>
        <w:rPr>
          <w:rFonts w:ascii="Arial Narrow" w:hAnsi="Arial Narrow"/>
        </w:rPr>
        <w:t>CONCLUSIÓN</w:t>
      </w:r>
    </w:p>
    <w:p w14:paraId="0B4B2286" w14:textId="5FFBAC19" w:rsidR="00384839" w:rsidRPr="00550ECB" w:rsidRDefault="00384839" w:rsidP="00C81424">
      <w:pPr>
        <w:jc w:val="both"/>
        <w:rPr>
          <w:rFonts w:ascii="Arial Narrow" w:eastAsia="Helvetica" w:hAnsi="Arial Narrow" w:cs="Helvetica"/>
        </w:rPr>
      </w:pPr>
      <w:r w:rsidRPr="00183A33">
        <w:rPr>
          <w:rFonts w:ascii="Arial Narrow" w:hAnsi="Arial Narrow"/>
        </w:rPr>
        <w:t>Estos estudios representan un gran avance debido a que se generaron nuevas herramientas diagn</w:t>
      </w:r>
      <w:r w:rsidRPr="00183A33">
        <w:rPr>
          <w:rFonts w:ascii="Arial Narrow" w:eastAsia="Helvetica" w:hAnsi="Arial Narrow" w:cs="Helvetica"/>
        </w:rPr>
        <w:t>ósticas que permitieron aportar nuevos conocimientos respecto a la prevalencia y distribución por variedad/edad y región geográfica de importantes patógenos en la citricultura nacional. Estos resultados son la base de futura</w:t>
      </w:r>
      <w:r w:rsidRPr="00183A33">
        <w:rPr>
          <w:rFonts w:ascii="Arial Narrow" w:hAnsi="Arial Narrow"/>
        </w:rPr>
        <w:t>s acciones a tomar en el sentido de ir hacia una mejora en la producci</w:t>
      </w:r>
      <w:r w:rsidRPr="00183A33">
        <w:rPr>
          <w:rFonts w:ascii="Arial Narrow" w:eastAsia="Helvetica" w:hAnsi="Arial Narrow" w:cs="Helvetica"/>
        </w:rPr>
        <w:t>ón citrícola del país</w:t>
      </w:r>
      <w:r w:rsidRPr="00183A33">
        <w:rPr>
          <w:rFonts w:ascii="Arial Narrow" w:hAnsi="Arial Narrow"/>
        </w:rPr>
        <w:t xml:space="preserve">. </w:t>
      </w:r>
    </w:p>
    <w:p w14:paraId="5C78168A" w14:textId="77777777" w:rsidR="00384839" w:rsidRPr="00183A33" w:rsidRDefault="00384839" w:rsidP="00C81424">
      <w:pPr>
        <w:jc w:val="both"/>
        <w:rPr>
          <w:rFonts w:ascii="Arial Narrow" w:hAnsi="Arial Narrow"/>
        </w:rPr>
      </w:pPr>
    </w:p>
    <w:p w14:paraId="06059E41" w14:textId="77777777" w:rsidR="00384839" w:rsidRPr="00384839" w:rsidRDefault="00384839" w:rsidP="00C81424">
      <w:pPr>
        <w:jc w:val="both"/>
        <w:rPr>
          <w:lang w:val="es-ES"/>
        </w:rPr>
      </w:pPr>
    </w:p>
    <w:sectPr w:rsidR="00384839" w:rsidRPr="00384839" w:rsidSect="008252A8">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Narrow">
    <w:panose1 w:val="020B0606020202030204"/>
    <w:charset w:val="00"/>
    <w:family w:val="auto"/>
    <w:pitch w:val="variable"/>
    <w:sig w:usb0="00000287" w:usb1="000008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596451"/>
    <w:multiLevelType w:val="hybridMultilevel"/>
    <w:tmpl w:val="BA524EB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6"/>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839"/>
    <w:rsid w:val="000473FE"/>
    <w:rsid w:val="00183A33"/>
    <w:rsid w:val="00247EF4"/>
    <w:rsid w:val="00384839"/>
    <w:rsid w:val="00406485"/>
    <w:rsid w:val="004B2564"/>
    <w:rsid w:val="004C2435"/>
    <w:rsid w:val="00550ECB"/>
    <w:rsid w:val="00624FA3"/>
    <w:rsid w:val="008252A8"/>
    <w:rsid w:val="008E398E"/>
    <w:rsid w:val="00950092"/>
    <w:rsid w:val="00956C3A"/>
    <w:rsid w:val="00967938"/>
    <w:rsid w:val="0098132F"/>
    <w:rsid w:val="00A03865"/>
    <w:rsid w:val="00A32BE8"/>
    <w:rsid w:val="00A94516"/>
    <w:rsid w:val="00AE330B"/>
    <w:rsid w:val="00AE4A15"/>
    <w:rsid w:val="00C81424"/>
    <w:rsid w:val="00CF1EC5"/>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2B258F9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83A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388343">
      <w:bodyDiv w:val="1"/>
      <w:marLeft w:val="0"/>
      <w:marRight w:val="0"/>
      <w:marTop w:val="0"/>
      <w:marBottom w:val="0"/>
      <w:divBdr>
        <w:top w:val="none" w:sz="0" w:space="0" w:color="auto"/>
        <w:left w:val="none" w:sz="0" w:space="0" w:color="auto"/>
        <w:bottom w:val="none" w:sz="0" w:space="0" w:color="auto"/>
        <w:right w:val="none" w:sz="0" w:space="0" w:color="auto"/>
      </w:divBdr>
      <w:divsChild>
        <w:div w:id="2003266231">
          <w:marLeft w:val="0"/>
          <w:marRight w:val="0"/>
          <w:marTop w:val="0"/>
          <w:marBottom w:val="0"/>
          <w:divBdr>
            <w:top w:val="none" w:sz="0" w:space="0" w:color="auto"/>
            <w:left w:val="none" w:sz="0" w:space="0" w:color="auto"/>
            <w:bottom w:val="none" w:sz="0" w:space="0" w:color="auto"/>
            <w:right w:val="none" w:sz="0" w:space="0" w:color="auto"/>
          </w:divBdr>
          <w:divsChild>
            <w:div w:id="48579375">
              <w:marLeft w:val="0"/>
              <w:marRight w:val="0"/>
              <w:marTop w:val="0"/>
              <w:marBottom w:val="0"/>
              <w:divBdr>
                <w:top w:val="none" w:sz="0" w:space="0" w:color="auto"/>
                <w:left w:val="none" w:sz="0" w:space="0" w:color="auto"/>
                <w:bottom w:val="none" w:sz="0" w:space="0" w:color="auto"/>
                <w:right w:val="none" w:sz="0" w:space="0" w:color="auto"/>
              </w:divBdr>
              <w:divsChild>
                <w:div w:id="895969377">
                  <w:marLeft w:val="0"/>
                  <w:marRight w:val="0"/>
                  <w:marTop w:val="0"/>
                  <w:marBottom w:val="0"/>
                  <w:divBdr>
                    <w:top w:val="none" w:sz="0" w:space="0" w:color="auto"/>
                    <w:left w:val="none" w:sz="0" w:space="0" w:color="auto"/>
                    <w:bottom w:val="none" w:sz="0" w:space="0" w:color="auto"/>
                    <w:right w:val="none" w:sz="0" w:space="0" w:color="auto"/>
                  </w:divBdr>
                  <w:divsChild>
                    <w:div w:id="128850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266508">
          <w:marLeft w:val="0"/>
          <w:marRight w:val="0"/>
          <w:marTop w:val="0"/>
          <w:marBottom w:val="0"/>
          <w:divBdr>
            <w:top w:val="none" w:sz="0" w:space="0" w:color="auto"/>
            <w:left w:val="none" w:sz="0" w:space="0" w:color="auto"/>
            <w:bottom w:val="none" w:sz="0" w:space="0" w:color="auto"/>
            <w:right w:val="none" w:sz="0" w:space="0" w:color="auto"/>
          </w:divBdr>
          <w:divsChild>
            <w:div w:id="1661301249">
              <w:marLeft w:val="0"/>
              <w:marRight w:val="0"/>
              <w:marTop w:val="0"/>
              <w:marBottom w:val="0"/>
              <w:divBdr>
                <w:top w:val="none" w:sz="0" w:space="0" w:color="auto"/>
                <w:left w:val="none" w:sz="0" w:space="0" w:color="auto"/>
                <w:bottom w:val="none" w:sz="0" w:space="0" w:color="auto"/>
                <w:right w:val="none" w:sz="0" w:space="0" w:color="auto"/>
              </w:divBdr>
              <w:divsChild>
                <w:div w:id="2071726437">
                  <w:marLeft w:val="0"/>
                  <w:marRight w:val="0"/>
                  <w:marTop w:val="0"/>
                  <w:marBottom w:val="0"/>
                  <w:divBdr>
                    <w:top w:val="none" w:sz="0" w:space="0" w:color="auto"/>
                    <w:left w:val="none" w:sz="0" w:space="0" w:color="auto"/>
                    <w:bottom w:val="none" w:sz="0" w:space="0" w:color="auto"/>
                    <w:right w:val="none" w:sz="0" w:space="0" w:color="auto"/>
                  </w:divBdr>
                  <w:divsChild>
                    <w:div w:id="31125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2</Pages>
  <Words>1003</Words>
  <Characters>5521</Characters>
  <Application>Microsoft Macintosh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6511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Majo Benítez-Galeano</dc:creator>
  <cp:keywords/>
  <dc:description/>
  <cp:lastModifiedBy>Majo Benítez-Galeano</cp:lastModifiedBy>
  <cp:revision>12</cp:revision>
  <dcterms:created xsi:type="dcterms:W3CDTF">2017-11-27T16:58:00Z</dcterms:created>
  <dcterms:modified xsi:type="dcterms:W3CDTF">2017-11-27T18:30:00Z</dcterms:modified>
</cp:coreProperties>
</file>