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922" w:rsidRDefault="00687922" w:rsidP="000F59EE">
      <w:pPr>
        <w:spacing w:line="276" w:lineRule="auto"/>
        <w:rPr>
          <w:rFonts w:ascii="Arial" w:hAnsi="Arial" w:cs="Arial"/>
          <w:b/>
          <w:sz w:val="28"/>
          <w:szCs w:val="28"/>
        </w:rPr>
      </w:pPr>
    </w:p>
    <w:p w:rsidR="00545915" w:rsidRPr="00660813" w:rsidRDefault="00545915" w:rsidP="00545915">
      <w:pPr>
        <w:rPr>
          <w:rFonts w:asciiTheme="minorHAnsi" w:hAnsiTheme="minorHAnsi" w:cstheme="minorHAnsi"/>
          <w:b/>
          <w:sz w:val="24"/>
          <w:szCs w:val="24"/>
          <w:lang w:val="es-UY"/>
        </w:rPr>
      </w:pPr>
      <w:r w:rsidRPr="00660813">
        <w:rPr>
          <w:rFonts w:asciiTheme="minorHAnsi" w:hAnsiTheme="minorHAnsi" w:cstheme="minorHAnsi"/>
          <w:b/>
          <w:sz w:val="24"/>
          <w:szCs w:val="24"/>
          <w:lang w:val="es-UY"/>
        </w:rPr>
        <w:t>DETECCIÓN Y CARACTERIZACIÓN DE VIRUS Y VIROIDES EN LA CITRICULTURA DEL URUGUAY: APORTES SOBRE EL NUEVO LINAJE DE CTV EN SUDAMÉRICA Y SU REPERCUSIÓN EN LA PROTECCIÓN CRUZADA</w:t>
      </w:r>
    </w:p>
    <w:p w:rsidR="00545915" w:rsidRPr="00660813" w:rsidRDefault="00545915" w:rsidP="00545915">
      <w:pPr>
        <w:rPr>
          <w:rFonts w:asciiTheme="minorHAnsi" w:hAnsiTheme="minorHAnsi" w:cstheme="minorHAnsi"/>
          <w:b/>
          <w:sz w:val="24"/>
          <w:szCs w:val="24"/>
          <w:lang w:val="es-UY"/>
        </w:rPr>
      </w:pPr>
    </w:p>
    <w:p w:rsidR="00545915" w:rsidRPr="00660813" w:rsidRDefault="00545915" w:rsidP="00545915">
      <w:pPr>
        <w:rPr>
          <w:rFonts w:asciiTheme="minorHAnsi" w:hAnsiTheme="minorHAnsi" w:cstheme="minorHAnsi"/>
          <w:b/>
          <w:sz w:val="24"/>
          <w:szCs w:val="24"/>
          <w:lang w:val="es-UY"/>
        </w:rPr>
      </w:pPr>
      <w:r w:rsidRPr="00660813">
        <w:rPr>
          <w:rFonts w:asciiTheme="minorHAnsi" w:hAnsiTheme="minorHAnsi" w:cstheme="minorHAnsi"/>
          <w:b/>
          <w:sz w:val="24"/>
          <w:szCs w:val="24"/>
          <w:lang w:val="es-UY"/>
        </w:rPr>
        <w:t>María José Benítez-Galeano</w:t>
      </w:r>
      <w:r w:rsidRPr="00660813">
        <w:rPr>
          <w:rFonts w:asciiTheme="minorHAnsi" w:hAnsiTheme="minorHAnsi" w:cstheme="minorHAnsi"/>
          <w:b/>
          <w:sz w:val="24"/>
          <w:szCs w:val="24"/>
          <w:vertAlign w:val="superscript"/>
          <w:lang w:val="es-UY"/>
        </w:rPr>
        <w:t>1</w:t>
      </w:r>
      <w:r w:rsidRPr="00660813">
        <w:rPr>
          <w:rFonts w:asciiTheme="minorHAnsi" w:hAnsiTheme="minorHAnsi" w:cstheme="minorHAnsi"/>
          <w:b/>
          <w:sz w:val="24"/>
          <w:szCs w:val="24"/>
          <w:lang w:val="es-UY"/>
        </w:rPr>
        <w:t>; Estefany Bertoni</w:t>
      </w:r>
      <w:r w:rsidRPr="00660813">
        <w:rPr>
          <w:rFonts w:asciiTheme="minorHAnsi" w:hAnsiTheme="minorHAnsi" w:cstheme="minorHAnsi"/>
          <w:b/>
          <w:sz w:val="24"/>
          <w:szCs w:val="24"/>
          <w:vertAlign w:val="superscript"/>
          <w:lang w:val="es-UY"/>
        </w:rPr>
        <w:t>1</w:t>
      </w:r>
      <w:r w:rsidRPr="00660813">
        <w:rPr>
          <w:rFonts w:asciiTheme="minorHAnsi" w:hAnsiTheme="minorHAnsi" w:cstheme="minorHAnsi"/>
          <w:b/>
          <w:sz w:val="24"/>
          <w:szCs w:val="24"/>
          <w:lang w:val="es-UY"/>
        </w:rPr>
        <w:t>; Ana Bertalmío</w:t>
      </w:r>
      <w:r w:rsidRPr="00660813">
        <w:rPr>
          <w:rFonts w:asciiTheme="minorHAnsi" w:hAnsiTheme="minorHAnsi" w:cstheme="minorHAnsi"/>
          <w:b/>
          <w:sz w:val="24"/>
          <w:szCs w:val="24"/>
          <w:vertAlign w:val="superscript"/>
          <w:lang w:val="es-UY"/>
        </w:rPr>
        <w:t>2</w:t>
      </w:r>
      <w:r w:rsidRPr="00660813">
        <w:rPr>
          <w:rFonts w:asciiTheme="minorHAnsi" w:hAnsiTheme="minorHAnsi" w:cstheme="minorHAnsi"/>
          <w:b/>
          <w:sz w:val="24"/>
          <w:szCs w:val="24"/>
          <w:lang w:val="es-UY"/>
        </w:rPr>
        <w:t>; Leticia Rubio</w:t>
      </w:r>
      <w:r w:rsidRPr="00660813">
        <w:rPr>
          <w:rFonts w:asciiTheme="minorHAnsi" w:hAnsiTheme="minorHAnsi" w:cstheme="minorHAnsi"/>
          <w:b/>
          <w:sz w:val="24"/>
          <w:szCs w:val="24"/>
          <w:vertAlign w:val="superscript"/>
          <w:lang w:val="es-UY"/>
        </w:rPr>
        <w:t>2</w:t>
      </w:r>
      <w:r w:rsidRPr="00660813">
        <w:rPr>
          <w:rFonts w:asciiTheme="minorHAnsi" w:hAnsiTheme="minorHAnsi" w:cstheme="minorHAnsi"/>
          <w:b/>
          <w:sz w:val="24"/>
          <w:szCs w:val="24"/>
          <w:lang w:val="es-UY"/>
        </w:rPr>
        <w:t>; Fernando Rivas</w:t>
      </w:r>
      <w:r w:rsidRPr="00660813">
        <w:rPr>
          <w:rFonts w:asciiTheme="minorHAnsi" w:hAnsiTheme="minorHAnsi" w:cstheme="minorHAnsi"/>
          <w:b/>
          <w:sz w:val="24"/>
          <w:szCs w:val="24"/>
          <w:vertAlign w:val="superscript"/>
          <w:lang w:val="es-UY"/>
        </w:rPr>
        <w:t>2</w:t>
      </w:r>
      <w:r w:rsidRPr="00660813">
        <w:rPr>
          <w:rFonts w:asciiTheme="minorHAnsi" w:hAnsiTheme="minorHAnsi" w:cstheme="minorHAnsi"/>
          <w:b/>
          <w:sz w:val="24"/>
          <w:szCs w:val="24"/>
          <w:lang w:val="es-UY"/>
        </w:rPr>
        <w:t>; Diego Maeso</w:t>
      </w:r>
      <w:r w:rsidRPr="00660813">
        <w:rPr>
          <w:rFonts w:asciiTheme="minorHAnsi" w:hAnsiTheme="minorHAnsi" w:cstheme="minorHAnsi"/>
          <w:b/>
          <w:sz w:val="24"/>
          <w:szCs w:val="24"/>
          <w:vertAlign w:val="superscript"/>
          <w:lang w:val="es-UY"/>
        </w:rPr>
        <w:t>2</w:t>
      </w:r>
      <w:r w:rsidRPr="00660813">
        <w:rPr>
          <w:rFonts w:asciiTheme="minorHAnsi" w:hAnsiTheme="minorHAnsi" w:cstheme="minorHAnsi"/>
          <w:b/>
          <w:sz w:val="24"/>
          <w:szCs w:val="24"/>
          <w:lang w:val="es-UY"/>
        </w:rPr>
        <w:t>; Rodney Colina</w:t>
      </w:r>
      <w:r w:rsidRPr="00660813">
        <w:rPr>
          <w:rFonts w:asciiTheme="minorHAnsi" w:hAnsiTheme="minorHAnsi" w:cstheme="minorHAnsi"/>
          <w:b/>
          <w:sz w:val="24"/>
          <w:szCs w:val="24"/>
          <w:vertAlign w:val="superscript"/>
          <w:lang w:val="es-UY"/>
        </w:rPr>
        <w:t>1</w:t>
      </w:r>
      <w:r w:rsidRPr="00660813">
        <w:rPr>
          <w:rFonts w:asciiTheme="minorHAnsi" w:hAnsiTheme="minorHAnsi" w:cstheme="minorHAnsi"/>
          <w:b/>
          <w:sz w:val="24"/>
          <w:szCs w:val="24"/>
          <w:lang w:val="es-UY"/>
        </w:rPr>
        <w:t>.</w:t>
      </w:r>
    </w:p>
    <w:p w:rsidR="00545915" w:rsidRPr="00660813" w:rsidRDefault="00545915" w:rsidP="00545915">
      <w:pPr>
        <w:rPr>
          <w:rFonts w:asciiTheme="minorHAnsi" w:hAnsiTheme="minorHAnsi" w:cstheme="minorHAnsi"/>
          <w:b/>
          <w:sz w:val="24"/>
          <w:szCs w:val="24"/>
          <w:lang w:val="es-UY"/>
        </w:rPr>
      </w:pPr>
    </w:p>
    <w:p w:rsidR="00545915" w:rsidRPr="00660813" w:rsidRDefault="00545915" w:rsidP="00545915">
      <w:pPr>
        <w:rPr>
          <w:rFonts w:asciiTheme="minorHAnsi" w:hAnsiTheme="minorHAnsi" w:cstheme="minorHAnsi"/>
          <w:i/>
          <w:sz w:val="20"/>
          <w:szCs w:val="20"/>
          <w:lang w:val="es-UY"/>
        </w:rPr>
      </w:pPr>
      <w:r w:rsidRPr="00660813">
        <w:rPr>
          <w:rFonts w:asciiTheme="minorHAnsi" w:hAnsiTheme="minorHAnsi" w:cstheme="minorHAnsi"/>
          <w:sz w:val="20"/>
          <w:szCs w:val="20"/>
          <w:vertAlign w:val="superscript"/>
          <w:lang w:val="es-UY"/>
        </w:rPr>
        <w:t>1</w:t>
      </w:r>
      <w:r w:rsidRPr="00660813">
        <w:rPr>
          <w:rFonts w:asciiTheme="minorHAnsi" w:hAnsiTheme="minorHAnsi" w:cstheme="minorHAnsi"/>
          <w:i/>
          <w:sz w:val="20"/>
          <w:szCs w:val="20"/>
          <w:lang w:val="es-UY"/>
        </w:rPr>
        <w:t>Laboratorio de Virología Molecular, Universidad de la República, CENUR Noroeste, Sede Salto, Uruguay.</w:t>
      </w:r>
    </w:p>
    <w:p w:rsidR="00545915" w:rsidRPr="00660813" w:rsidRDefault="00545915" w:rsidP="00545915">
      <w:pPr>
        <w:rPr>
          <w:rFonts w:asciiTheme="minorHAnsi" w:hAnsiTheme="minorHAnsi" w:cstheme="minorHAnsi"/>
          <w:b/>
          <w:sz w:val="20"/>
          <w:szCs w:val="20"/>
          <w:lang w:val="es-UY"/>
        </w:rPr>
      </w:pPr>
      <w:r w:rsidRPr="00660813">
        <w:rPr>
          <w:rFonts w:asciiTheme="minorHAnsi" w:hAnsiTheme="minorHAnsi" w:cstheme="minorHAnsi"/>
          <w:i/>
          <w:sz w:val="20"/>
          <w:szCs w:val="20"/>
          <w:vertAlign w:val="superscript"/>
          <w:lang w:val="es-UY"/>
        </w:rPr>
        <w:t>2</w:t>
      </w:r>
      <w:r w:rsidRPr="00660813">
        <w:rPr>
          <w:rFonts w:asciiTheme="minorHAnsi" w:hAnsiTheme="minorHAnsi" w:cstheme="minorHAnsi"/>
          <w:i/>
          <w:iCs/>
          <w:sz w:val="20"/>
          <w:szCs w:val="20"/>
          <w:lang w:val="es-UY"/>
        </w:rPr>
        <w:t xml:space="preserve">Programa Nacional de Investigación en Producción Citrícola, Instituto Nacional de Investigación Agropecuaria (INIA), Uruguay. </w:t>
      </w:r>
    </w:p>
    <w:p w:rsidR="00545915" w:rsidRPr="00660813" w:rsidRDefault="00545915" w:rsidP="00545915">
      <w:pPr>
        <w:rPr>
          <w:rFonts w:asciiTheme="minorHAnsi" w:hAnsiTheme="minorHAnsi" w:cstheme="minorHAnsi"/>
          <w:b/>
          <w:sz w:val="20"/>
          <w:szCs w:val="20"/>
          <w:lang w:val="es-UY"/>
        </w:rPr>
      </w:pPr>
    </w:p>
    <w:p w:rsidR="00545915" w:rsidRPr="00660813" w:rsidRDefault="00545915" w:rsidP="00545915">
      <w:pPr>
        <w:rPr>
          <w:rFonts w:asciiTheme="minorHAnsi" w:hAnsiTheme="minorHAnsi" w:cstheme="minorHAnsi"/>
          <w:lang w:val="es-UY"/>
        </w:rPr>
      </w:pPr>
      <w:r w:rsidRPr="00660813">
        <w:rPr>
          <w:rFonts w:asciiTheme="minorHAnsi" w:hAnsiTheme="minorHAnsi" w:cstheme="minorHAnsi"/>
          <w:b/>
          <w:lang w:val="es-UY"/>
        </w:rPr>
        <w:t xml:space="preserve">Palabras Clave: </w:t>
      </w:r>
      <w:r w:rsidR="00F649D8" w:rsidRPr="00F649D8">
        <w:rPr>
          <w:rFonts w:asciiTheme="minorHAnsi" w:hAnsiTheme="minorHAnsi" w:cstheme="minorHAnsi"/>
          <w:lang w:val="es-UY"/>
        </w:rPr>
        <w:t>CT</w:t>
      </w:r>
      <w:r w:rsidRPr="00F649D8">
        <w:rPr>
          <w:rFonts w:asciiTheme="minorHAnsi" w:hAnsiTheme="minorHAnsi" w:cstheme="minorHAnsi"/>
          <w:lang w:val="es-UY"/>
        </w:rPr>
        <w:t>V</w:t>
      </w:r>
      <w:r w:rsidRPr="00660813">
        <w:rPr>
          <w:rFonts w:asciiTheme="minorHAnsi" w:hAnsiTheme="minorHAnsi" w:cstheme="minorHAnsi"/>
          <w:lang w:val="es-UY"/>
        </w:rPr>
        <w:t xml:space="preserve">; </w:t>
      </w:r>
      <w:r w:rsidR="00F649D8">
        <w:rPr>
          <w:rFonts w:asciiTheme="minorHAnsi" w:hAnsiTheme="minorHAnsi" w:cstheme="minorHAnsi"/>
          <w:lang w:val="es-UY"/>
        </w:rPr>
        <w:t xml:space="preserve">CPsV; CEVd, Nuevo Linaje Genético; </w:t>
      </w:r>
      <w:r w:rsidRPr="00660813">
        <w:rPr>
          <w:rFonts w:asciiTheme="minorHAnsi" w:hAnsiTheme="minorHAnsi" w:cstheme="minorHAnsi"/>
          <w:lang w:val="es-UY"/>
        </w:rPr>
        <w:t>Técnicas Moleculares; Filogenia; Protección Cruzada.</w:t>
      </w:r>
    </w:p>
    <w:p w:rsidR="000F59EE" w:rsidRPr="00660813" w:rsidRDefault="000F59EE" w:rsidP="000F59EE">
      <w:pPr>
        <w:autoSpaceDE w:val="0"/>
        <w:autoSpaceDN w:val="0"/>
        <w:spacing w:line="276" w:lineRule="auto"/>
        <w:rPr>
          <w:rFonts w:asciiTheme="minorHAnsi" w:hAnsiTheme="minorHAnsi" w:cstheme="minorHAnsi"/>
          <w:color w:val="000000" w:themeColor="text1"/>
          <w:sz w:val="20"/>
          <w:szCs w:val="20"/>
        </w:rPr>
      </w:pPr>
    </w:p>
    <w:p w:rsidR="00DC146D" w:rsidRPr="00660813" w:rsidRDefault="000F59EE" w:rsidP="000F59EE">
      <w:pPr>
        <w:autoSpaceDE w:val="0"/>
        <w:autoSpaceDN w:val="0"/>
        <w:spacing w:line="276" w:lineRule="auto"/>
        <w:rPr>
          <w:rFonts w:asciiTheme="minorHAnsi" w:hAnsiTheme="minorHAnsi" w:cstheme="minorHAnsi"/>
          <w:color w:val="0070C0"/>
          <w:sz w:val="20"/>
          <w:szCs w:val="20"/>
        </w:rPr>
      </w:pPr>
      <w:r w:rsidRPr="00660813">
        <w:rPr>
          <w:rFonts w:asciiTheme="minorHAnsi" w:hAnsiTheme="minorHAnsi" w:cstheme="minorHAnsi"/>
          <w:color w:val="000000" w:themeColor="text1"/>
          <w:sz w:val="20"/>
          <w:szCs w:val="20"/>
        </w:rPr>
        <w:t>Contacto:</w:t>
      </w:r>
      <w:r w:rsidRPr="00660813">
        <w:rPr>
          <w:rFonts w:asciiTheme="minorHAnsi" w:hAnsiTheme="minorHAnsi" w:cstheme="minorHAnsi"/>
          <w:color w:val="0070C0"/>
          <w:sz w:val="20"/>
          <w:szCs w:val="20"/>
        </w:rPr>
        <w:t xml:space="preserve"> </w:t>
      </w:r>
      <w:r w:rsidR="00545915" w:rsidRPr="00660813">
        <w:rPr>
          <w:rFonts w:asciiTheme="minorHAnsi" w:hAnsiTheme="minorHAnsi" w:cstheme="minorHAnsi"/>
          <w:sz w:val="20"/>
          <w:szCs w:val="20"/>
        </w:rPr>
        <w:t>rodneycolina1</w:t>
      </w:r>
      <w:r w:rsidR="00DC146D" w:rsidRPr="00660813">
        <w:rPr>
          <w:rFonts w:asciiTheme="minorHAnsi" w:hAnsiTheme="minorHAnsi" w:cstheme="minorHAnsi"/>
          <w:sz w:val="20"/>
          <w:szCs w:val="20"/>
        </w:rPr>
        <w:t>@</w:t>
      </w:r>
      <w:r w:rsidR="00545915" w:rsidRPr="00660813">
        <w:rPr>
          <w:rFonts w:asciiTheme="minorHAnsi" w:hAnsiTheme="minorHAnsi" w:cstheme="minorHAnsi"/>
          <w:sz w:val="20"/>
          <w:szCs w:val="20"/>
        </w:rPr>
        <w:t>gmail.com</w:t>
      </w:r>
    </w:p>
    <w:p w:rsidR="00DC146D" w:rsidRPr="00660813" w:rsidRDefault="00DC146D" w:rsidP="000F59EE">
      <w:pPr>
        <w:autoSpaceDE w:val="0"/>
        <w:autoSpaceDN w:val="0"/>
        <w:spacing w:line="276" w:lineRule="auto"/>
        <w:rPr>
          <w:rFonts w:asciiTheme="minorHAnsi" w:hAnsiTheme="minorHAnsi" w:cstheme="minorHAnsi"/>
          <w:color w:val="0070C0"/>
          <w:sz w:val="20"/>
          <w:szCs w:val="20"/>
        </w:rPr>
      </w:pPr>
    </w:p>
    <w:p w:rsidR="00C3197A" w:rsidRPr="00660813" w:rsidRDefault="00C3197A" w:rsidP="000F59EE">
      <w:pPr>
        <w:spacing w:line="276" w:lineRule="auto"/>
        <w:rPr>
          <w:rFonts w:asciiTheme="minorHAnsi" w:hAnsiTheme="minorHAnsi" w:cstheme="minorHAnsi"/>
          <w:b/>
        </w:rPr>
      </w:pPr>
    </w:p>
    <w:p w:rsidR="00C3197A" w:rsidRPr="00660813" w:rsidRDefault="00C3197A" w:rsidP="000F59EE">
      <w:pPr>
        <w:spacing w:line="276" w:lineRule="auto"/>
        <w:rPr>
          <w:rFonts w:asciiTheme="minorHAnsi" w:hAnsiTheme="minorHAnsi" w:cstheme="minorHAnsi"/>
          <w:b/>
        </w:rPr>
      </w:pPr>
      <w:r w:rsidRPr="00660813">
        <w:rPr>
          <w:rFonts w:asciiTheme="minorHAnsi" w:hAnsiTheme="minorHAnsi" w:cstheme="minorHAnsi"/>
          <w:b/>
        </w:rPr>
        <w:t>Introducción.</w:t>
      </w:r>
    </w:p>
    <w:p w:rsidR="00C3197A" w:rsidRPr="00660813" w:rsidRDefault="00C3197A" w:rsidP="000F59EE">
      <w:pPr>
        <w:spacing w:line="276" w:lineRule="auto"/>
        <w:rPr>
          <w:rFonts w:asciiTheme="minorHAnsi" w:hAnsiTheme="minorHAnsi" w:cstheme="minorHAnsi"/>
          <w:b/>
        </w:rPr>
      </w:pPr>
    </w:p>
    <w:p w:rsidR="00181130" w:rsidRPr="00660813" w:rsidRDefault="00886E46" w:rsidP="00293AEF">
      <w:pPr>
        <w:autoSpaceDE w:val="0"/>
        <w:autoSpaceDN w:val="0"/>
        <w:adjustRightInd w:val="0"/>
        <w:rPr>
          <w:rFonts w:asciiTheme="minorHAnsi" w:hAnsiTheme="minorHAnsi" w:cstheme="minorHAnsi"/>
          <w:color w:val="000000"/>
          <w:sz w:val="23"/>
          <w:szCs w:val="23"/>
          <w:lang w:val="es-UY" w:eastAsia="es-UY"/>
        </w:rPr>
      </w:pPr>
      <w:r w:rsidRPr="00886E46">
        <w:rPr>
          <w:rFonts w:asciiTheme="minorHAnsi" w:hAnsiTheme="minorHAnsi" w:cstheme="minorHAnsi"/>
          <w:color w:val="000000"/>
          <w:sz w:val="23"/>
          <w:szCs w:val="23"/>
          <w:lang w:val="es-UY" w:eastAsia="es-UY"/>
        </w:rPr>
        <w:t>Los cítricos son el cultivo frutal más importante a nivel económico en el mundo.</w:t>
      </w:r>
      <w:r w:rsidRPr="00660813">
        <w:rPr>
          <w:rFonts w:asciiTheme="minorHAnsi" w:hAnsiTheme="minorHAnsi" w:cstheme="minorHAnsi"/>
          <w:color w:val="000000"/>
          <w:sz w:val="23"/>
          <w:szCs w:val="23"/>
          <w:lang w:val="es-UY" w:eastAsia="es-UY"/>
        </w:rPr>
        <w:t xml:space="preserve"> </w:t>
      </w:r>
      <w:r w:rsidRPr="00660813">
        <w:rPr>
          <w:rFonts w:asciiTheme="minorHAnsi" w:hAnsiTheme="minorHAnsi" w:cstheme="minorHAnsi"/>
        </w:rPr>
        <w:t>Las distintas especies de cítricos son susceptibles a numerosas enfermedades causadas por patógenos intracelulares tales como virus y viroides. Éstas influyen directamente en la producción citrícola, generando importantes pérdidas económicas en todas las zonas afectadas del mundo</w:t>
      </w:r>
      <w:r w:rsidR="00086E3A" w:rsidRPr="00660813">
        <w:rPr>
          <w:rFonts w:asciiTheme="minorHAnsi" w:hAnsiTheme="minorHAnsi" w:cstheme="minorHAnsi"/>
        </w:rPr>
        <w:t xml:space="preserve"> y en nuestro país se estiman en el </w:t>
      </w:r>
      <w:r w:rsidRPr="00886E46">
        <w:rPr>
          <w:rFonts w:asciiTheme="minorHAnsi" w:hAnsiTheme="minorHAnsi" w:cstheme="minorHAnsi"/>
          <w:color w:val="000000"/>
          <w:sz w:val="23"/>
          <w:szCs w:val="23"/>
          <w:lang w:val="es-UY" w:eastAsia="es-UY"/>
        </w:rPr>
        <w:t xml:space="preserve">orden del 30% de la producción citrícola nacional. </w:t>
      </w:r>
    </w:p>
    <w:p w:rsidR="00181130" w:rsidRPr="00660813" w:rsidRDefault="00181130" w:rsidP="00181130">
      <w:pPr>
        <w:pStyle w:val="Textoindependiente"/>
        <w:widowControl/>
        <w:spacing w:after="0" w:line="225" w:lineRule="atLeast"/>
        <w:jc w:val="both"/>
        <w:rPr>
          <w:rFonts w:asciiTheme="minorHAnsi" w:hAnsiTheme="minorHAnsi" w:cstheme="minorHAnsi"/>
          <w:sz w:val="22"/>
          <w:szCs w:val="22"/>
        </w:rPr>
      </w:pPr>
      <w:r w:rsidRPr="00660813">
        <w:rPr>
          <w:rFonts w:asciiTheme="minorHAnsi" w:hAnsiTheme="minorHAnsi" w:cstheme="minorHAnsi"/>
          <w:sz w:val="22"/>
          <w:szCs w:val="22"/>
        </w:rPr>
        <w:t xml:space="preserve">Desde que apareció hace dos siglos atrás, la enfermedad conocida como Tristeza, es la enfermedad viral más devastadora de la industria citrícola a nivel mundial (Roistacher </w:t>
      </w:r>
      <w:r w:rsidRPr="00660813">
        <w:rPr>
          <w:rFonts w:asciiTheme="minorHAnsi" w:hAnsiTheme="minorHAnsi" w:cstheme="minorHAnsi"/>
          <w:i/>
          <w:sz w:val="22"/>
          <w:szCs w:val="22"/>
        </w:rPr>
        <w:t>et al.</w:t>
      </w:r>
      <w:r w:rsidRPr="00660813">
        <w:rPr>
          <w:rFonts w:asciiTheme="minorHAnsi" w:hAnsiTheme="minorHAnsi" w:cstheme="minorHAnsi"/>
          <w:sz w:val="22"/>
          <w:szCs w:val="22"/>
        </w:rPr>
        <w:t xml:space="preserve">, 2010). Su agente etiológico, el Virus de la Tristeza de los Cítricos (CTV), es transmitido por injerto de material vegetal infectado o principalmente por áfidos de los géneros </w:t>
      </w:r>
      <w:r w:rsidRPr="00660813">
        <w:rPr>
          <w:rFonts w:asciiTheme="minorHAnsi" w:hAnsiTheme="minorHAnsi" w:cstheme="minorHAnsi"/>
          <w:i/>
          <w:sz w:val="22"/>
          <w:szCs w:val="22"/>
        </w:rPr>
        <w:t>Toxoptera</w:t>
      </w:r>
      <w:r w:rsidRPr="00660813">
        <w:rPr>
          <w:rFonts w:asciiTheme="minorHAnsi" w:hAnsiTheme="minorHAnsi" w:cstheme="minorHAnsi"/>
          <w:sz w:val="22"/>
          <w:szCs w:val="22"/>
        </w:rPr>
        <w:t xml:space="preserve"> y </w:t>
      </w:r>
      <w:r w:rsidRPr="00660813">
        <w:rPr>
          <w:rFonts w:asciiTheme="minorHAnsi" w:hAnsiTheme="minorHAnsi" w:cstheme="minorHAnsi"/>
          <w:i/>
          <w:sz w:val="22"/>
          <w:szCs w:val="22"/>
        </w:rPr>
        <w:t xml:space="preserve">Aphis </w:t>
      </w:r>
      <w:r w:rsidRPr="00660813">
        <w:rPr>
          <w:rFonts w:asciiTheme="minorHAnsi" w:hAnsiTheme="minorHAnsi" w:cstheme="minorHAnsi"/>
          <w:sz w:val="22"/>
          <w:szCs w:val="22"/>
        </w:rPr>
        <w:t xml:space="preserve">(Moreno </w:t>
      </w:r>
      <w:r w:rsidRPr="00660813">
        <w:rPr>
          <w:rFonts w:asciiTheme="minorHAnsi" w:hAnsiTheme="minorHAnsi" w:cstheme="minorHAnsi"/>
          <w:i/>
          <w:sz w:val="22"/>
          <w:szCs w:val="22"/>
        </w:rPr>
        <w:t>et al.</w:t>
      </w:r>
      <w:r w:rsidRPr="00660813">
        <w:rPr>
          <w:rFonts w:asciiTheme="minorHAnsi" w:hAnsiTheme="minorHAnsi" w:cstheme="minorHAnsi"/>
          <w:sz w:val="22"/>
          <w:szCs w:val="22"/>
        </w:rPr>
        <w:t xml:space="preserve">, 2008). La existencia de variantes genéticas del virus con diversos grados de severidad, han sido reportadas en todas las áreas citrícolas afectadas del mundo. La presencia de CTV y su vector más eficiente, </w:t>
      </w:r>
      <w:r w:rsidRPr="00660813">
        <w:rPr>
          <w:rFonts w:asciiTheme="minorHAnsi" w:hAnsiTheme="minorHAnsi" w:cstheme="minorHAnsi"/>
          <w:i/>
          <w:sz w:val="22"/>
          <w:szCs w:val="22"/>
        </w:rPr>
        <w:t>T. citricida</w:t>
      </w:r>
      <w:r w:rsidRPr="00660813">
        <w:rPr>
          <w:rFonts w:asciiTheme="minorHAnsi" w:hAnsiTheme="minorHAnsi" w:cstheme="minorHAnsi"/>
          <w:sz w:val="22"/>
          <w:szCs w:val="22"/>
        </w:rPr>
        <w:t xml:space="preserve">, ha sido descrita en Uruguay desde los años 40 (Koch de Brotos &amp; Boaso, 1955). </w:t>
      </w:r>
    </w:p>
    <w:p w:rsidR="00F0719F" w:rsidRPr="00660813" w:rsidRDefault="00181130" w:rsidP="00F0719F">
      <w:pPr>
        <w:pStyle w:val="Textoindependiente"/>
        <w:widowControl/>
        <w:spacing w:after="0" w:line="225" w:lineRule="atLeast"/>
        <w:jc w:val="both"/>
        <w:rPr>
          <w:rFonts w:asciiTheme="minorHAnsi" w:hAnsiTheme="minorHAnsi" w:cstheme="minorHAnsi"/>
          <w:color w:val="000000"/>
          <w:lang w:eastAsia="es-UY"/>
        </w:rPr>
      </w:pPr>
      <w:r w:rsidRPr="00660813">
        <w:rPr>
          <w:rFonts w:asciiTheme="minorHAnsi" w:hAnsiTheme="minorHAnsi" w:cstheme="minorHAnsi"/>
          <w:sz w:val="22"/>
          <w:szCs w:val="22"/>
        </w:rPr>
        <w:t xml:space="preserve">Como resultado de errores en la replicación, eventos de recombinación y </w:t>
      </w:r>
      <w:r w:rsidR="00F0719F" w:rsidRPr="00660813">
        <w:rPr>
          <w:rFonts w:asciiTheme="minorHAnsi" w:hAnsiTheme="minorHAnsi" w:cstheme="minorHAnsi"/>
          <w:sz w:val="22"/>
          <w:szCs w:val="22"/>
        </w:rPr>
        <w:t xml:space="preserve">transmisión mediada por el vector, los aislados de CTV se encuentran en la naturaleza como poblaciones de variantes de secuencia que muestran diferentes características biológicas (Kong </w:t>
      </w:r>
      <w:r w:rsidR="00F0719F" w:rsidRPr="00660813">
        <w:rPr>
          <w:rFonts w:asciiTheme="minorHAnsi" w:hAnsiTheme="minorHAnsi" w:cstheme="minorHAnsi"/>
          <w:i/>
          <w:sz w:val="22"/>
          <w:szCs w:val="22"/>
        </w:rPr>
        <w:t>et al.</w:t>
      </w:r>
      <w:r w:rsidR="00F0719F" w:rsidRPr="00660813">
        <w:rPr>
          <w:rFonts w:asciiTheme="minorHAnsi" w:hAnsiTheme="minorHAnsi" w:cstheme="minorHAnsi"/>
          <w:sz w:val="22"/>
          <w:szCs w:val="22"/>
        </w:rPr>
        <w:t xml:space="preserve">, 2000; Rubio </w:t>
      </w:r>
      <w:r w:rsidR="00F0719F" w:rsidRPr="00660813">
        <w:rPr>
          <w:rFonts w:asciiTheme="minorHAnsi" w:hAnsiTheme="minorHAnsi" w:cstheme="minorHAnsi"/>
          <w:i/>
          <w:sz w:val="22"/>
          <w:szCs w:val="22"/>
        </w:rPr>
        <w:t>et al.</w:t>
      </w:r>
      <w:r w:rsidR="00F0719F" w:rsidRPr="00660813">
        <w:rPr>
          <w:rFonts w:asciiTheme="minorHAnsi" w:hAnsiTheme="minorHAnsi" w:cstheme="minorHAnsi"/>
          <w:sz w:val="22"/>
          <w:szCs w:val="22"/>
        </w:rPr>
        <w:t xml:space="preserve">, 2001). Es así que estudios de la diversidad genética de las poblaciones de CTV se han descrito como altamente relevantes para el desarrollo de estrategias de control, como planes de protección cruzada, que han sido desarrollados satisfactoriamente en países como Brasil, Sudáfrica o Perú (Roistacher </w:t>
      </w:r>
      <w:r w:rsidR="00F0719F" w:rsidRPr="00660813">
        <w:rPr>
          <w:rFonts w:asciiTheme="minorHAnsi" w:hAnsiTheme="minorHAnsi" w:cstheme="minorHAnsi"/>
          <w:i/>
          <w:sz w:val="22"/>
          <w:szCs w:val="22"/>
        </w:rPr>
        <w:t>et al.</w:t>
      </w:r>
      <w:r w:rsidR="00F0719F" w:rsidRPr="00660813">
        <w:rPr>
          <w:rFonts w:asciiTheme="minorHAnsi" w:hAnsiTheme="minorHAnsi" w:cstheme="minorHAnsi"/>
          <w:sz w:val="22"/>
          <w:szCs w:val="22"/>
        </w:rPr>
        <w:t>, 2010). La receta para que la protección cruzada funcione es identificar en primer lugar los aislados severos que necesitan ser controlados, y luego encontrar aislados suaves del mismo genotipo pre inmunizar las plantas, la protección cruzada es genotipo específica (Folimonova, 2013).</w:t>
      </w:r>
      <w:r w:rsidR="002D597F" w:rsidRPr="00660813">
        <w:rPr>
          <w:rFonts w:asciiTheme="minorHAnsi" w:hAnsiTheme="minorHAnsi" w:cstheme="minorHAnsi"/>
          <w:sz w:val="22"/>
          <w:szCs w:val="22"/>
        </w:rPr>
        <w:t xml:space="preserve"> </w:t>
      </w:r>
    </w:p>
    <w:p w:rsidR="00293AEF" w:rsidRPr="00660813" w:rsidRDefault="00886E46" w:rsidP="00293AEF">
      <w:pPr>
        <w:autoSpaceDE w:val="0"/>
        <w:autoSpaceDN w:val="0"/>
        <w:adjustRightInd w:val="0"/>
        <w:rPr>
          <w:rFonts w:asciiTheme="minorHAnsi" w:hAnsiTheme="minorHAnsi" w:cstheme="minorHAnsi"/>
          <w:color w:val="000000"/>
          <w:sz w:val="23"/>
          <w:szCs w:val="23"/>
          <w:lang w:val="es-UY" w:eastAsia="es-UY"/>
        </w:rPr>
      </w:pPr>
      <w:r w:rsidRPr="00886E46">
        <w:rPr>
          <w:rFonts w:asciiTheme="minorHAnsi" w:hAnsiTheme="minorHAnsi" w:cstheme="minorHAnsi"/>
          <w:color w:val="000000"/>
          <w:sz w:val="23"/>
          <w:szCs w:val="23"/>
          <w:lang w:val="es-UY" w:eastAsia="es-UY"/>
        </w:rPr>
        <w:t>CTV</w:t>
      </w:r>
      <w:r w:rsidR="00181130" w:rsidRPr="00660813">
        <w:rPr>
          <w:rFonts w:asciiTheme="minorHAnsi" w:hAnsiTheme="minorHAnsi" w:cstheme="minorHAnsi"/>
          <w:color w:val="000000"/>
          <w:sz w:val="23"/>
          <w:szCs w:val="23"/>
          <w:lang w:val="es-UY" w:eastAsia="es-UY"/>
        </w:rPr>
        <w:t>, junto con el virus de la Psorosis de los cítricos</w:t>
      </w:r>
      <w:r w:rsidRPr="00886E46">
        <w:rPr>
          <w:rFonts w:asciiTheme="minorHAnsi" w:hAnsiTheme="minorHAnsi" w:cstheme="minorHAnsi"/>
          <w:color w:val="000000"/>
          <w:sz w:val="23"/>
          <w:szCs w:val="23"/>
          <w:lang w:val="es-UY" w:eastAsia="es-UY"/>
        </w:rPr>
        <w:t xml:space="preserve"> (CPsV)</w:t>
      </w:r>
      <w:r w:rsidR="00181130" w:rsidRPr="00660813">
        <w:rPr>
          <w:rFonts w:asciiTheme="minorHAnsi" w:hAnsiTheme="minorHAnsi" w:cstheme="minorHAnsi"/>
          <w:color w:val="000000"/>
          <w:sz w:val="23"/>
          <w:szCs w:val="23"/>
          <w:lang w:val="es-UY" w:eastAsia="es-UY"/>
        </w:rPr>
        <w:t xml:space="preserve"> y el </w:t>
      </w:r>
      <w:r w:rsidRPr="00886E46">
        <w:rPr>
          <w:rFonts w:asciiTheme="minorHAnsi" w:hAnsiTheme="minorHAnsi" w:cstheme="minorHAnsi"/>
          <w:color w:val="000000"/>
          <w:sz w:val="23"/>
          <w:szCs w:val="23"/>
          <w:lang w:val="es-UY" w:eastAsia="es-UY"/>
        </w:rPr>
        <w:t xml:space="preserve">viroide que produce la Exocortis (CEVd), son los agentes de esta naturaleza de mayor incidencia en los cultivos citrícolas de nuestro país. </w:t>
      </w:r>
      <w:r w:rsidR="00293AEF" w:rsidRPr="00886E46">
        <w:rPr>
          <w:rFonts w:asciiTheme="minorHAnsi" w:hAnsiTheme="minorHAnsi" w:cstheme="minorHAnsi"/>
          <w:color w:val="000000"/>
          <w:sz w:val="23"/>
          <w:szCs w:val="23"/>
          <w:lang w:val="es-UY" w:eastAsia="es-UY"/>
        </w:rPr>
        <w:t>Con el fin de est</w:t>
      </w:r>
      <w:r w:rsidR="00293AEF" w:rsidRPr="00660813">
        <w:rPr>
          <w:rFonts w:asciiTheme="minorHAnsi" w:hAnsiTheme="minorHAnsi" w:cstheme="minorHAnsi"/>
          <w:color w:val="000000"/>
          <w:sz w:val="23"/>
          <w:szCs w:val="23"/>
          <w:lang w:val="es-UY" w:eastAsia="es-UY"/>
        </w:rPr>
        <w:t xml:space="preserve">ablecer la incidencia de dichos patógenos a nivel nacional, </w:t>
      </w:r>
      <w:r w:rsidR="002D597F" w:rsidRPr="00660813">
        <w:rPr>
          <w:rFonts w:asciiTheme="minorHAnsi" w:hAnsiTheme="minorHAnsi" w:cstheme="minorHAnsi"/>
          <w:color w:val="000000"/>
          <w:sz w:val="23"/>
          <w:szCs w:val="23"/>
          <w:lang w:val="es-UY" w:eastAsia="es-UY"/>
        </w:rPr>
        <w:t xml:space="preserve">se realizarán colectas </w:t>
      </w:r>
      <w:r w:rsidR="00293AEF" w:rsidRPr="00660813">
        <w:rPr>
          <w:rFonts w:asciiTheme="minorHAnsi" w:hAnsiTheme="minorHAnsi" w:cstheme="minorHAnsi"/>
          <w:color w:val="000000"/>
          <w:sz w:val="23"/>
          <w:szCs w:val="23"/>
          <w:lang w:val="es-UY" w:eastAsia="es-UY"/>
        </w:rPr>
        <w:t>en las distintas</w:t>
      </w:r>
      <w:r w:rsidR="00293AEF" w:rsidRPr="00886E46">
        <w:rPr>
          <w:rFonts w:asciiTheme="minorHAnsi" w:hAnsiTheme="minorHAnsi" w:cstheme="minorHAnsi"/>
          <w:color w:val="000000"/>
          <w:sz w:val="23"/>
          <w:szCs w:val="23"/>
          <w:lang w:val="es-UY" w:eastAsia="es-UY"/>
        </w:rPr>
        <w:t xml:space="preserve"> zonas</w:t>
      </w:r>
      <w:r w:rsidR="00293AEF" w:rsidRPr="00660813">
        <w:rPr>
          <w:rFonts w:asciiTheme="minorHAnsi" w:hAnsiTheme="minorHAnsi" w:cstheme="minorHAnsi"/>
          <w:color w:val="000000"/>
          <w:sz w:val="23"/>
          <w:szCs w:val="23"/>
          <w:lang w:val="es-UY" w:eastAsia="es-UY"/>
        </w:rPr>
        <w:t xml:space="preserve"> </w:t>
      </w:r>
      <w:r w:rsidR="002D597F" w:rsidRPr="00660813">
        <w:rPr>
          <w:rFonts w:asciiTheme="minorHAnsi" w:hAnsiTheme="minorHAnsi" w:cstheme="minorHAnsi"/>
          <w:color w:val="000000"/>
          <w:sz w:val="23"/>
          <w:szCs w:val="23"/>
          <w:lang w:val="es-UY" w:eastAsia="es-UY"/>
        </w:rPr>
        <w:t>citrícolas del Uruguay y</w:t>
      </w:r>
      <w:r w:rsidR="00293AEF" w:rsidRPr="00886E46">
        <w:rPr>
          <w:rFonts w:asciiTheme="minorHAnsi" w:hAnsiTheme="minorHAnsi" w:cstheme="minorHAnsi"/>
          <w:color w:val="000000"/>
          <w:sz w:val="23"/>
          <w:szCs w:val="23"/>
          <w:lang w:val="es-UY" w:eastAsia="es-UY"/>
        </w:rPr>
        <w:t xml:space="preserve"> se </w:t>
      </w:r>
      <w:r w:rsidR="00293AEF" w:rsidRPr="00660813">
        <w:rPr>
          <w:rFonts w:asciiTheme="minorHAnsi" w:hAnsiTheme="minorHAnsi" w:cstheme="minorHAnsi"/>
          <w:color w:val="000000"/>
          <w:sz w:val="23"/>
          <w:szCs w:val="23"/>
          <w:lang w:val="es-UY" w:eastAsia="es-UY"/>
        </w:rPr>
        <w:t xml:space="preserve">desarrollaron </w:t>
      </w:r>
      <w:r w:rsidR="00293AEF" w:rsidRPr="00886E46">
        <w:rPr>
          <w:rFonts w:asciiTheme="minorHAnsi" w:hAnsiTheme="minorHAnsi" w:cstheme="minorHAnsi"/>
          <w:color w:val="000000"/>
          <w:sz w:val="23"/>
          <w:szCs w:val="23"/>
          <w:lang w:val="es-UY" w:eastAsia="es-UY"/>
        </w:rPr>
        <w:t>metodologías de biología molecular para el diagnóstico y caracterización de estos patógenos</w:t>
      </w:r>
      <w:r w:rsidR="00293AEF" w:rsidRPr="00660813">
        <w:rPr>
          <w:rFonts w:asciiTheme="minorHAnsi" w:hAnsiTheme="minorHAnsi" w:cstheme="minorHAnsi"/>
          <w:color w:val="000000"/>
          <w:sz w:val="23"/>
          <w:szCs w:val="23"/>
          <w:lang w:val="es-UY" w:eastAsia="es-UY"/>
        </w:rPr>
        <w:t xml:space="preserve"> en variedades de interés comercial como naranjas </w:t>
      </w:r>
      <w:r w:rsidR="00293AEF" w:rsidRPr="00886E46">
        <w:rPr>
          <w:rFonts w:asciiTheme="minorHAnsi" w:hAnsiTheme="minorHAnsi" w:cstheme="minorHAnsi"/>
          <w:color w:val="000000"/>
          <w:sz w:val="23"/>
          <w:szCs w:val="23"/>
          <w:lang w:val="es-UY" w:eastAsia="es-UY"/>
        </w:rPr>
        <w:t>de los grupos Navel y Valencia, mandarinas del grupo de las Clementinas y también limones</w:t>
      </w:r>
      <w:r w:rsidR="00293AEF" w:rsidRPr="00660813">
        <w:rPr>
          <w:rFonts w:asciiTheme="minorHAnsi" w:hAnsiTheme="minorHAnsi" w:cstheme="minorHAnsi"/>
          <w:color w:val="000000"/>
          <w:sz w:val="23"/>
          <w:szCs w:val="23"/>
          <w:lang w:val="es-UY" w:eastAsia="es-UY"/>
        </w:rPr>
        <w:t>.</w:t>
      </w:r>
    </w:p>
    <w:p w:rsidR="00293AEF" w:rsidRPr="00660813" w:rsidRDefault="00293AEF" w:rsidP="00293AEF">
      <w:pPr>
        <w:autoSpaceDE w:val="0"/>
        <w:autoSpaceDN w:val="0"/>
        <w:adjustRightInd w:val="0"/>
        <w:rPr>
          <w:rFonts w:asciiTheme="minorHAnsi" w:hAnsiTheme="minorHAnsi" w:cstheme="minorHAnsi"/>
          <w:lang w:val="es-UY"/>
        </w:rPr>
      </w:pPr>
    </w:p>
    <w:p w:rsidR="00C3197A" w:rsidRDefault="000F59EE" w:rsidP="000F59EE">
      <w:pPr>
        <w:spacing w:line="276" w:lineRule="auto"/>
        <w:rPr>
          <w:rFonts w:asciiTheme="minorHAnsi" w:hAnsiTheme="minorHAnsi" w:cstheme="minorHAnsi"/>
          <w:b/>
          <w:sz w:val="24"/>
          <w:szCs w:val="24"/>
        </w:rPr>
      </w:pPr>
      <w:r w:rsidRPr="00660813">
        <w:rPr>
          <w:rFonts w:asciiTheme="minorHAnsi" w:hAnsiTheme="minorHAnsi" w:cstheme="minorHAnsi"/>
          <w:b/>
          <w:sz w:val="24"/>
          <w:szCs w:val="24"/>
        </w:rPr>
        <w:lastRenderedPageBreak/>
        <w:t>Materiales y M</w:t>
      </w:r>
      <w:r w:rsidR="00C3197A" w:rsidRPr="00660813">
        <w:rPr>
          <w:rFonts w:asciiTheme="minorHAnsi" w:hAnsiTheme="minorHAnsi" w:cstheme="minorHAnsi"/>
          <w:b/>
          <w:sz w:val="24"/>
          <w:szCs w:val="24"/>
        </w:rPr>
        <w:t>étodos</w:t>
      </w:r>
      <w:r w:rsidRPr="00660813">
        <w:rPr>
          <w:rFonts w:asciiTheme="minorHAnsi" w:hAnsiTheme="minorHAnsi" w:cstheme="minorHAnsi"/>
          <w:b/>
          <w:sz w:val="24"/>
          <w:szCs w:val="24"/>
        </w:rPr>
        <w:t>.</w:t>
      </w:r>
    </w:p>
    <w:p w:rsidR="00872346" w:rsidRPr="00660813" w:rsidRDefault="00872346" w:rsidP="000F59EE">
      <w:pPr>
        <w:spacing w:line="276" w:lineRule="auto"/>
        <w:rPr>
          <w:rFonts w:asciiTheme="minorHAnsi" w:hAnsiTheme="minorHAnsi" w:cstheme="minorHAnsi"/>
          <w:b/>
          <w:sz w:val="24"/>
          <w:szCs w:val="24"/>
        </w:rPr>
      </w:pPr>
    </w:p>
    <w:p w:rsidR="002D597F" w:rsidRPr="00660813" w:rsidRDefault="002D597F" w:rsidP="002D597F">
      <w:pPr>
        <w:autoSpaceDE w:val="0"/>
        <w:autoSpaceDN w:val="0"/>
        <w:adjustRightInd w:val="0"/>
        <w:rPr>
          <w:rFonts w:asciiTheme="minorHAnsi" w:hAnsiTheme="minorHAnsi" w:cstheme="minorHAnsi"/>
          <w:color w:val="000000"/>
          <w:lang w:val="es-UY" w:eastAsia="ru-RU"/>
        </w:rPr>
      </w:pPr>
      <w:r w:rsidRPr="00660813">
        <w:rPr>
          <w:rFonts w:asciiTheme="minorHAnsi" w:hAnsiTheme="minorHAnsi" w:cstheme="minorHAnsi"/>
          <w:color w:val="000000"/>
          <w:lang w:val="es-UY" w:eastAsia="ru-RU"/>
        </w:rPr>
        <w:t xml:space="preserve">Para la primera etapa del trabajo se utilizaron un total de 15 muestras de campo. La extracción del ARN total se realizó con el </w:t>
      </w:r>
      <w:r w:rsidRPr="00660813">
        <w:rPr>
          <w:rFonts w:asciiTheme="minorHAnsi" w:hAnsiTheme="minorHAnsi" w:cstheme="minorHAnsi"/>
          <w:i/>
          <w:color w:val="000000"/>
          <w:lang w:val="es-UY" w:eastAsia="ru-RU"/>
        </w:rPr>
        <w:t>RNeasy</w:t>
      </w:r>
      <w:r w:rsidR="001D2633" w:rsidRPr="00660813">
        <w:rPr>
          <w:rFonts w:asciiTheme="minorHAnsi" w:hAnsiTheme="minorHAnsi" w:cstheme="minorHAnsi"/>
          <w:i/>
          <w:color w:val="000000"/>
          <w:lang w:val="es-UY" w:eastAsia="ru-RU"/>
        </w:rPr>
        <w:t xml:space="preserve"> </w:t>
      </w:r>
      <w:r w:rsidRPr="00660813">
        <w:rPr>
          <w:rFonts w:asciiTheme="minorHAnsi" w:hAnsiTheme="minorHAnsi" w:cstheme="minorHAnsi"/>
          <w:i/>
          <w:color w:val="000000"/>
          <w:lang w:val="es-UY" w:eastAsia="ru-RU"/>
        </w:rPr>
        <w:t>Plant Mini Kit</w:t>
      </w:r>
      <w:r w:rsidRPr="00660813">
        <w:rPr>
          <w:rFonts w:asciiTheme="minorHAnsi" w:hAnsiTheme="minorHAnsi" w:cstheme="minorHAnsi"/>
          <w:color w:val="000000"/>
          <w:lang w:val="es-UY" w:eastAsia="ru-RU"/>
        </w:rPr>
        <w:t xml:space="preserve"> de QIAGEN según recomendaciones del fabricante y la síntesis del ADN copia se realizó utilizando </w:t>
      </w:r>
      <w:r w:rsidRPr="00660813">
        <w:rPr>
          <w:rFonts w:asciiTheme="minorHAnsi" w:hAnsiTheme="minorHAnsi" w:cstheme="minorHAnsi"/>
          <w:i/>
          <w:color w:val="000000"/>
          <w:lang w:val="es-UY" w:eastAsia="ru-RU"/>
        </w:rPr>
        <w:t xml:space="preserve">primers </w:t>
      </w:r>
      <w:r w:rsidRPr="00660813">
        <w:rPr>
          <w:rFonts w:asciiTheme="minorHAnsi" w:hAnsiTheme="minorHAnsi" w:cstheme="minorHAnsi"/>
          <w:color w:val="000000"/>
          <w:lang w:val="es-UY" w:eastAsia="ru-RU"/>
        </w:rPr>
        <w:t xml:space="preserve">randómicos. Se estandarizó un sistema de detección rápido y sensible, por PCR en tiempo real con tecnología TaqMan, mediante la amplificación de un fragmento de la región 3’UTR del genoma viral. Para la caracterización de los aislados, se amplificaron por PCR en tiempo final, tres genes del genoma de CTV (p25, p20 y p23) mediante protocolos publicados por Iglesias y colaboradores (2008) y Rubio y colaboradores (2001). Los resultados fueron visualizados en geles de agarosa al 2% y los amplicones purificados mediante el uso de kits comerciales siguiendo las normas del fabricante. La secuenciación de los aislados se realizó de manera bidireccional en la plataforma del Instituto Pasteur de Montevideo. Por otro lado, y con el objetivo de conocer la composición de las poblaciones virales, se clonaron los amplicones para los tres genes analizados para el total de las muestras. Se analizó un total de al menos 10 clones por muestra y se secuenciaron bidireccionalmente como en el caso anterior. La edición de las secuencias nucleotídicas se realizó con el programa SeqMan, y los alineamientos con sus correspondientes análisis filogenéticos se realizaron con el programa MEGA 6. Los árboles filogenéticos se realizaron con el método </w:t>
      </w:r>
      <w:r w:rsidRPr="00660813">
        <w:rPr>
          <w:rFonts w:asciiTheme="minorHAnsi" w:hAnsiTheme="minorHAnsi" w:cstheme="minorHAnsi"/>
          <w:i/>
          <w:color w:val="000000"/>
          <w:lang w:val="es-UY" w:eastAsia="ru-RU"/>
        </w:rPr>
        <w:t>Maximum Likelihood</w:t>
      </w:r>
      <w:r w:rsidRPr="00660813">
        <w:rPr>
          <w:rFonts w:asciiTheme="minorHAnsi" w:hAnsiTheme="minorHAnsi" w:cstheme="minorHAnsi"/>
          <w:color w:val="000000"/>
          <w:lang w:val="es-UY" w:eastAsia="ru-RU"/>
        </w:rPr>
        <w:t xml:space="preserve"> bajo el modelo </w:t>
      </w:r>
      <w:r w:rsidRPr="00660813">
        <w:rPr>
          <w:rFonts w:asciiTheme="minorHAnsi" w:hAnsiTheme="minorHAnsi" w:cstheme="minorHAnsi"/>
          <w:i/>
          <w:color w:val="000000"/>
          <w:lang w:val="es-UY" w:eastAsia="ru-RU"/>
        </w:rPr>
        <w:t xml:space="preserve">HKY </w:t>
      </w:r>
      <w:r w:rsidRPr="00660813">
        <w:rPr>
          <w:rFonts w:asciiTheme="minorHAnsi" w:hAnsiTheme="minorHAnsi" w:cstheme="minorHAnsi"/>
          <w:color w:val="000000"/>
          <w:lang w:val="es-UY" w:eastAsia="ru-RU"/>
        </w:rPr>
        <w:t xml:space="preserve">con aLRT como soporte estadístico. </w:t>
      </w:r>
    </w:p>
    <w:p w:rsidR="002D597F" w:rsidRPr="00660813" w:rsidRDefault="002D597F" w:rsidP="002D597F">
      <w:pPr>
        <w:autoSpaceDE w:val="0"/>
        <w:autoSpaceDN w:val="0"/>
        <w:adjustRightInd w:val="0"/>
        <w:rPr>
          <w:rFonts w:asciiTheme="minorHAnsi" w:hAnsiTheme="minorHAnsi" w:cstheme="minorHAnsi"/>
          <w:color w:val="000000"/>
          <w:lang w:val="es-UY" w:eastAsia="ru-RU"/>
        </w:rPr>
      </w:pPr>
      <w:r w:rsidRPr="00660813">
        <w:rPr>
          <w:rFonts w:asciiTheme="minorHAnsi" w:hAnsiTheme="minorHAnsi" w:cstheme="minorHAnsi"/>
          <w:color w:val="000000"/>
          <w:lang w:val="es-UY" w:eastAsia="ru-RU"/>
        </w:rPr>
        <w:t xml:space="preserve">En cuanto a la segunda etapa, </w:t>
      </w:r>
      <w:r w:rsidR="001D2633" w:rsidRPr="00660813">
        <w:rPr>
          <w:rFonts w:asciiTheme="minorHAnsi" w:hAnsiTheme="minorHAnsi" w:cstheme="minorHAnsi"/>
          <w:color w:val="000000"/>
          <w:lang w:val="es-UY" w:eastAsia="ru-RU"/>
        </w:rPr>
        <w:t xml:space="preserve">está estipulado </w:t>
      </w:r>
      <w:r w:rsidR="00921E4F">
        <w:rPr>
          <w:rFonts w:asciiTheme="minorHAnsi" w:hAnsiTheme="minorHAnsi" w:cstheme="minorHAnsi"/>
          <w:color w:val="000000"/>
          <w:lang w:val="es-UY" w:eastAsia="ru-RU"/>
        </w:rPr>
        <w:t xml:space="preserve">colectar </w:t>
      </w:r>
      <w:r w:rsidR="001D2633" w:rsidRPr="00660813">
        <w:rPr>
          <w:rFonts w:asciiTheme="minorHAnsi" w:hAnsiTheme="minorHAnsi" w:cstheme="minorHAnsi"/>
          <w:color w:val="000000"/>
          <w:lang w:val="es-UY" w:eastAsia="ru-RU"/>
        </w:rPr>
        <w:t xml:space="preserve">un </w:t>
      </w:r>
      <w:r w:rsidR="00921E4F">
        <w:rPr>
          <w:rFonts w:asciiTheme="minorHAnsi" w:hAnsiTheme="minorHAnsi" w:cstheme="minorHAnsi"/>
          <w:color w:val="000000"/>
          <w:lang w:val="es-UY" w:eastAsia="ru-RU"/>
        </w:rPr>
        <w:t>total</w:t>
      </w:r>
      <w:r w:rsidR="001D2633" w:rsidRPr="00660813">
        <w:rPr>
          <w:rFonts w:asciiTheme="minorHAnsi" w:hAnsiTheme="minorHAnsi" w:cstheme="minorHAnsi"/>
          <w:color w:val="000000"/>
          <w:lang w:val="es-UY" w:eastAsia="ru-RU"/>
        </w:rPr>
        <w:t xml:space="preserve"> de 1070 muestras al final del proyecto distribuidas como se indica en la figura 1ª. Al momento se han colectado 22</w:t>
      </w:r>
      <w:r w:rsidR="00921E4F">
        <w:rPr>
          <w:rFonts w:asciiTheme="minorHAnsi" w:hAnsiTheme="minorHAnsi" w:cstheme="minorHAnsi"/>
          <w:color w:val="000000"/>
          <w:lang w:val="es-UY" w:eastAsia="ru-RU"/>
        </w:rPr>
        <w:t>3</w:t>
      </w:r>
      <w:r w:rsidR="001D2633" w:rsidRPr="00660813">
        <w:rPr>
          <w:rFonts w:asciiTheme="minorHAnsi" w:hAnsiTheme="minorHAnsi" w:cstheme="minorHAnsi"/>
          <w:color w:val="000000"/>
          <w:lang w:val="es-UY" w:eastAsia="ru-RU"/>
        </w:rPr>
        <w:t xml:space="preserve"> muestras de las regiones citrícolas indicadas en la figura 1B. Para el análisis de CTV, CPsV y CEVd, la extracción del ARN se realiza mediante </w:t>
      </w:r>
      <w:r w:rsidR="001D2633" w:rsidRPr="00660813">
        <w:rPr>
          <w:rFonts w:asciiTheme="minorHAnsi" w:hAnsiTheme="minorHAnsi" w:cstheme="minorHAnsi"/>
          <w:i/>
          <w:color w:val="000000"/>
          <w:lang w:val="es-UY" w:eastAsia="ru-RU"/>
        </w:rPr>
        <w:t>RNeasy Plant Mini Kit</w:t>
      </w:r>
      <w:r w:rsidR="001D2633" w:rsidRPr="00660813">
        <w:rPr>
          <w:rFonts w:asciiTheme="minorHAnsi" w:hAnsiTheme="minorHAnsi" w:cstheme="minorHAnsi"/>
          <w:color w:val="000000"/>
          <w:lang w:val="es-UY" w:eastAsia="ru-RU"/>
        </w:rPr>
        <w:t xml:space="preserve"> de QIAGEN según recomendaciones del fabricante y la síntesis del ADN copia utilizando </w:t>
      </w:r>
      <w:r w:rsidR="001D2633" w:rsidRPr="00660813">
        <w:rPr>
          <w:rFonts w:asciiTheme="minorHAnsi" w:hAnsiTheme="minorHAnsi" w:cstheme="minorHAnsi"/>
          <w:i/>
          <w:color w:val="000000"/>
          <w:lang w:val="es-UY" w:eastAsia="ru-RU"/>
        </w:rPr>
        <w:t xml:space="preserve">primers </w:t>
      </w:r>
      <w:r w:rsidR="001D2633" w:rsidRPr="00660813">
        <w:rPr>
          <w:rFonts w:asciiTheme="minorHAnsi" w:hAnsiTheme="minorHAnsi" w:cstheme="minorHAnsi"/>
          <w:color w:val="000000"/>
          <w:lang w:val="es-UY" w:eastAsia="ru-RU"/>
        </w:rPr>
        <w:t>randómicos.</w:t>
      </w:r>
      <w:r w:rsidR="00CD539D" w:rsidRPr="00660813">
        <w:rPr>
          <w:rFonts w:asciiTheme="minorHAnsi" w:hAnsiTheme="minorHAnsi" w:cstheme="minorHAnsi"/>
          <w:color w:val="000000"/>
          <w:lang w:val="es-UY" w:eastAsia="ru-RU"/>
        </w:rPr>
        <w:t xml:space="preserve"> La detección de CTV se realiza mediante PCR en tiempo real con metodología TaqMan (Bertolini </w:t>
      </w:r>
      <w:r w:rsidR="00CD539D" w:rsidRPr="00660813">
        <w:rPr>
          <w:rFonts w:asciiTheme="minorHAnsi" w:hAnsiTheme="minorHAnsi" w:cstheme="minorHAnsi"/>
          <w:i/>
          <w:color w:val="000000"/>
          <w:lang w:val="es-UY" w:eastAsia="ru-RU"/>
        </w:rPr>
        <w:t>et al.</w:t>
      </w:r>
      <w:r w:rsidR="00CD539D" w:rsidRPr="00660813">
        <w:rPr>
          <w:rFonts w:asciiTheme="minorHAnsi" w:hAnsiTheme="minorHAnsi" w:cstheme="minorHAnsi"/>
          <w:color w:val="000000"/>
          <w:lang w:val="es-UY" w:eastAsia="ru-RU"/>
        </w:rPr>
        <w:t xml:space="preserve">, 2008), CPsV mediante PCR en tiempo final (Roy </w:t>
      </w:r>
      <w:r w:rsidR="00CD539D" w:rsidRPr="00660813">
        <w:rPr>
          <w:rFonts w:asciiTheme="minorHAnsi" w:hAnsiTheme="minorHAnsi" w:cstheme="minorHAnsi"/>
          <w:i/>
          <w:color w:val="000000"/>
          <w:lang w:val="es-UY" w:eastAsia="ru-RU"/>
        </w:rPr>
        <w:t>et al.</w:t>
      </w:r>
      <w:r w:rsidR="00CD539D" w:rsidRPr="00660813">
        <w:rPr>
          <w:rFonts w:asciiTheme="minorHAnsi" w:hAnsiTheme="minorHAnsi" w:cstheme="minorHAnsi"/>
          <w:color w:val="000000"/>
          <w:lang w:val="es-UY" w:eastAsia="ru-RU"/>
        </w:rPr>
        <w:t xml:space="preserve">, 2005) y CEVd utilizando PCR en tiempo real con el kit Quanti Fast SYBR Green RT-PCR (QIAGEN) según recomendaciones del fabricante. La caracterización de los aislados de CTV se realiza mediante secuenciación de los genes p20, p25 y p23 como se realizó en la primera etapa del presente trabajo. </w:t>
      </w:r>
      <w:r w:rsidRPr="00660813">
        <w:rPr>
          <w:rFonts w:asciiTheme="minorHAnsi" w:hAnsiTheme="minorHAnsi" w:cstheme="minorHAnsi"/>
          <w:color w:val="000000"/>
          <w:lang w:val="es-UY" w:eastAsia="ru-RU"/>
        </w:rPr>
        <w:t xml:space="preserve"> </w:t>
      </w:r>
    </w:p>
    <w:p w:rsidR="001D2633" w:rsidRDefault="001D2633" w:rsidP="002D597F">
      <w:pPr>
        <w:autoSpaceDE w:val="0"/>
        <w:autoSpaceDN w:val="0"/>
        <w:adjustRightInd w:val="0"/>
        <w:rPr>
          <w:rFonts w:ascii="Arial" w:hAnsi="Arial" w:cs="Arial"/>
          <w:color w:val="000000"/>
          <w:lang w:val="es-UY" w:eastAsia="ru-RU"/>
        </w:rPr>
      </w:pPr>
    </w:p>
    <w:p w:rsidR="001D2633" w:rsidRPr="002D597F" w:rsidRDefault="00285F84" w:rsidP="002D597F">
      <w:pPr>
        <w:autoSpaceDE w:val="0"/>
        <w:autoSpaceDN w:val="0"/>
        <w:adjustRightInd w:val="0"/>
        <w:rPr>
          <w:rFonts w:ascii="Arial" w:hAnsi="Arial" w:cs="Arial"/>
          <w:color w:val="000000"/>
          <w:lang w:val="es-UY" w:eastAsia="ru-RU"/>
        </w:rPr>
      </w:pPr>
      <w:r w:rsidRPr="00285F84">
        <w:rPr>
          <w:rFonts w:ascii="Arial" w:hAnsi="Arial" w:cs="Arial"/>
          <w:noProof/>
          <w:lang w:val="es-UY" w:eastAsia="es-UY"/>
        </w:rPr>
        <w:pict>
          <v:shapetype id="_x0000_t202" coordsize="21600,21600" o:spt="202" path="m,l,21600r21600,l21600,xe">
            <v:stroke joinstyle="miter"/>
            <v:path gradientshapeok="t" o:connecttype="rect"/>
          </v:shapetype>
          <v:shape id="_x0000_s1030" type="#_x0000_t202" style="position:absolute;left:0;text-align:left;margin-left:-196.75pt;margin-top:10.4pt;width:21.75pt;height:18.75pt;z-index:251663360" filled="f" stroked="f">
            <v:textbox>
              <w:txbxContent>
                <w:p w:rsidR="00FE3AC7" w:rsidRPr="00FE3AC7" w:rsidRDefault="00FE3AC7">
                  <w:pPr>
                    <w:rPr>
                      <w:sz w:val="24"/>
                      <w:szCs w:val="24"/>
                      <w:lang w:val="es-UY"/>
                    </w:rPr>
                  </w:pPr>
                  <w:r w:rsidRPr="00FE3AC7">
                    <w:rPr>
                      <w:sz w:val="24"/>
                      <w:szCs w:val="24"/>
                      <w:lang w:val="es-UY"/>
                    </w:rPr>
                    <w:t>B</w:t>
                  </w:r>
                </w:p>
              </w:txbxContent>
            </v:textbox>
          </v:shape>
        </w:pict>
      </w:r>
      <w:r>
        <w:rPr>
          <w:rFonts w:ascii="Arial" w:hAnsi="Arial" w:cs="Arial"/>
          <w:noProof/>
          <w:color w:val="000000"/>
          <w:lang w:val="es-UY" w:eastAsia="es-UY"/>
        </w:rPr>
        <w:pict>
          <v:shape id="_x0000_s1029" type="#_x0000_t202" style="position:absolute;left:0;text-align:left;margin-left:-427pt;margin-top:2.9pt;width:21.75pt;height:26.25pt;z-index:251662336" filled="f" stroked="f">
            <v:textbox style="mso-next-textbox:#_x0000_s1029">
              <w:txbxContent>
                <w:p w:rsidR="00872346" w:rsidRPr="00872346" w:rsidRDefault="00872346">
                  <w:pPr>
                    <w:rPr>
                      <w:sz w:val="24"/>
                      <w:szCs w:val="24"/>
                      <w:lang w:val="es-UY"/>
                    </w:rPr>
                  </w:pPr>
                  <w:r w:rsidRPr="00872346">
                    <w:rPr>
                      <w:sz w:val="24"/>
                      <w:szCs w:val="24"/>
                      <w:lang w:val="es-UY"/>
                    </w:rPr>
                    <w:t>A</w:t>
                  </w:r>
                </w:p>
              </w:txbxContent>
            </v:textbox>
          </v:shape>
        </w:pict>
      </w:r>
      <w:r w:rsidR="001D2633">
        <w:rPr>
          <w:rFonts w:ascii="Arial" w:hAnsi="Arial" w:cs="Arial"/>
          <w:noProof/>
          <w:color w:val="000000"/>
          <w:lang w:val="es-UY" w:eastAsia="es-UY"/>
        </w:rPr>
        <w:drawing>
          <wp:anchor distT="0" distB="0" distL="114300" distR="114300" simplePos="0" relativeHeight="251659264" behindDoc="1" locked="0" layoutInCell="1" allowOverlap="1">
            <wp:simplePos x="0" y="0"/>
            <wp:positionH relativeFrom="column">
              <wp:posOffset>2895600</wp:posOffset>
            </wp:positionH>
            <wp:positionV relativeFrom="paragraph">
              <wp:posOffset>8890</wp:posOffset>
            </wp:positionV>
            <wp:extent cx="2503170" cy="3105785"/>
            <wp:effectExtent l="19050" t="0" r="0" b="0"/>
            <wp:wrapTight wrapText="bothSides">
              <wp:wrapPolygon edited="0">
                <wp:start x="-164" y="0"/>
                <wp:lineTo x="-164" y="21463"/>
                <wp:lineTo x="21534" y="21463"/>
                <wp:lineTo x="21534" y="0"/>
                <wp:lineTo x="-164" y="0"/>
              </wp:wrapPolygon>
            </wp:wrapTight>
            <wp:docPr id="1" name="0 Imagen" descr="001 Lugares de muestreo zona Norte 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Lugares de muestreo zona Norte chica.jpg"/>
                    <pic:cNvPicPr/>
                  </pic:nvPicPr>
                  <pic:blipFill>
                    <a:blip r:embed="rId8" cstate="print"/>
                    <a:stretch>
                      <a:fillRect/>
                    </a:stretch>
                  </pic:blipFill>
                  <pic:spPr>
                    <a:xfrm>
                      <a:off x="0" y="0"/>
                      <a:ext cx="2503170" cy="3105785"/>
                    </a:xfrm>
                    <a:prstGeom prst="rect">
                      <a:avLst/>
                    </a:prstGeom>
                  </pic:spPr>
                </pic:pic>
              </a:graphicData>
            </a:graphic>
          </wp:anchor>
        </w:drawing>
      </w:r>
      <w:r w:rsidR="001D2633">
        <w:rPr>
          <w:rFonts w:ascii="Arial" w:hAnsi="Arial" w:cs="Arial"/>
          <w:noProof/>
          <w:color w:val="000000"/>
          <w:lang w:val="es-UY" w:eastAsia="es-UY"/>
        </w:rPr>
        <w:drawing>
          <wp:anchor distT="0" distB="0" distL="114300" distR="114300" simplePos="0" relativeHeight="251658240" behindDoc="1" locked="0" layoutInCell="1" allowOverlap="1">
            <wp:simplePos x="0" y="0"/>
            <wp:positionH relativeFrom="column">
              <wp:posOffset>15240</wp:posOffset>
            </wp:positionH>
            <wp:positionV relativeFrom="paragraph">
              <wp:posOffset>-2540</wp:posOffset>
            </wp:positionV>
            <wp:extent cx="2734310" cy="3248025"/>
            <wp:effectExtent l="19050" t="0" r="8890" b="0"/>
            <wp:wrapTight wrapText="bothSides">
              <wp:wrapPolygon edited="0">
                <wp:start x="-150" y="0"/>
                <wp:lineTo x="-150" y="21537"/>
                <wp:lineTo x="21670" y="21537"/>
                <wp:lineTo x="21670" y="0"/>
                <wp:lineTo x="-15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734310" cy="3248025"/>
                    </a:xfrm>
                    <a:prstGeom prst="rect">
                      <a:avLst/>
                    </a:prstGeom>
                    <a:noFill/>
                    <a:ln w="9525">
                      <a:noFill/>
                      <a:miter lim="800000"/>
                      <a:headEnd/>
                      <a:tailEnd/>
                    </a:ln>
                  </pic:spPr>
                </pic:pic>
              </a:graphicData>
            </a:graphic>
          </wp:anchor>
        </w:drawing>
      </w:r>
    </w:p>
    <w:p w:rsidR="000F59EE" w:rsidRPr="002D597F" w:rsidRDefault="000F59EE" w:rsidP="000F59EE">
      <w:pPr>
        <w:spacing w:line="276" w:lineRule="auto"/>
        <w:rPr>
          <w:rFonts w:ascii="Arial" w:hAnsi="Arial" w:cs="Arial"/>
          <w:lang w:val="es-UY"/>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Default="001D2633" w:rsidP="000F59EE">
      <w:pPr>
        <w:spacing w:line="276" w:lineRule="auto"/>
        <w:rPr>
          <w:rFonts w:ascii="Arial" w:hAnsi="Arial" w:cs="Arial"/>
          <w:b/>
        </w:rPr>
      </w:pPr>
    </w:p>
    <w:p w:rsidR="001D2633" w:rsidRPr="00660813" w:rsidRDefault="001D2633" w:rsidP="001D2633">
      <w:pPr>
        <w:rPr>
          <w:rFonts w:asciiTheme="minorHAnsi" w:hAnsiTheme="minorHAnsi" w:cstheme="minorHAnsi"/>
          <w:sz w:val="18"/>
        </w:rPr>
      </w:pPr>
      <w:r w:rsidRPr="00660813">
        <w:rPr>
          <w:rFonts w:asciiTheme="minorHAnsi" w:hAnsiTheme="minorHAnsi" w:cstheme="minorHAnsi"/>
          <w:b/>
          <w:sz w:val="18"/>
        </w:rPr>
        <w:t xml:space="preserve">Figura 1. </w:t>
      </w:r>
      <w:r w:rsidRPr="00660813">
        <w:rPr>
          <w:rFonts w:asciiTheme="minorHAnsi" w:hAnsiTheme="minorHAnsi" w:cstheme="minorHAnsi"/>
          <w:sz w:val="18"/>
        </w:rPr>
        <w:t xml:space="preserve">A. Zonas citrícolas del país donde se realizarán los muestreos. B. Zona Norte donde el muestreo se ha realizado. </w:t>
      </w:r>
    </w:p>
    <w:p w:rsidR="001D2633" w:rsidRPr="00660813" w:rsidRDefault="001D2633" w:rsidP="000F59EE">
      <w:pPr>
        <w:spacing w:line="276" w:lineRule="auto"/>
        <w:rPr>
          <w:rFonts w:asciiTheme="minorHAnsi" w:hAnsiTheme="minorHAnsi" w:cstheme="minorHAnsi"/>
          <w:b/>
        </w:rPr>
      </w:pPr>
    </w:p>
    <w:p w:rsidR="001D2633" w:rsidRPr="00660813" w:rsidRDefault="001D2633" w:rsidP="000F59EE">
      <w:pPr>
        <w:spacing w:line="276" w:lineRule="auto"/>
        <w:rPr>
          <w:rFonts w:asciiTheme="minorHAnsi" w:hAnsiTheme="minorHAnsi" w:cstheme="minorHAnsi"/>
          <w:b/>
        </w:rPr>
      </w:pPr>
    </w:p>
    <w:p w:rsidR="00CD539D" w:rsidRPr="00660813" w:rsidRDefault="00CD539D" w:rsidP="000F59EE">
      <w:pPr>
        <w:spacing w:line="276" w:lineRule="auto"/>
        <w:rPr>
          <w:rFonts w:asciiTheme="minorHAnsi" w:hAnsiTheme="minorHAnsi" w:cstheme="minorHAnsi"/>
          <w:b/>
        </w:rPr>
      </w:pPr>
      <w:r w:rsidRPr="00660813">
        <w:rPr>
          <w:rFonts w:asciiTheme="minorHAnsi" w:hAnsiTheme="minorHAnsi" w:cstheme="minorHAnsi"/>
          <w:b/>
        </w:rPr>
        <w:t>Resultados y Discusión</w:t>
      </w:r>
    </w:p>
    <w:p w:rsidR="001F35DD" w:rsidRPr="00660813" w:rsidRDefault="001F35DD" w:rsidP="000F59EE">
      <w:pPr>
        <w:spacing w:line="276" w:lineRule="auto"/>
        <w:rPr>
          <w:rFonts w:asciiTheme="minorHAnsi" w:hAnsiTheme="minorHAnsi" w:cstheme="minorHAnsi"/>
          <w:b/>
        </w:rPr>
      </w:pPr>
    </w:p>
    <w:p w:rsidR="001F35DD" w:rsidRPr="00660813" w:rsidRDefault="001F35DD" w:rsidP="001F35DD">
      <w:pPr>
        <w:autoSpaceDE w:val="0"/>
        <w:autoSpaceDN w:val="0"/>
        <w:adjustRightInd w:val="0"/>
        <w:rPr>
          <w:rFonts w:asciiTheme="minorHAnsi" w:hAnsiTheme="minorHAnsi" w:cstheme="minorHAnsi"/>
          <w:color w:val="000000"/>
          <w:lang w:val="es-UY" w:eastAsia="ru-RU"/>
        </w:rPr>
      </w:pPr>
      <w:r w:rsidRPr="00660813">
        <w:rPr>
          <w:rFonts w:asciiTheme="minorHAnsi" w:hAnsiTheme="minorHAnsi" w:cstheme="minorHAnsi"/>
          <w:color w:val="000000"/>
          <w:lang w:eastAsia="ru-RU"/>
        </w:rPr>
        <w:t>S</w:t>
      </w:r>
      <w:r w:rsidRPr="00660813">
        <w:rPr>
          <w:rFonts w:asciiTheme="minorHAnsi" w:hAnsiTheme="minorHAnsi" w:cstheme="minorHAnsi"/>
          <w:color w:val="000000"/>
          <w:lang w:val="es-UY" w:eastAsia="ru-RU"/>
        </w:rPr>
        <w:t xml:space="preserve">e presentó el primer estudio de caracterización molecular de las variantes genéticas que circulan en el país, en base al análisis de la secuencia completa de los genes p25, p20 y p23. </w:t>
      </w:r>
      <w:r w:rsidR="001E3A64" w:rsidRPr="00660813">
        <w:rPr>
          <w:rFonts w:asciiTheme="minorHAnsi" w:hAnsiTheme="minorHAnsi" w:cstheme="minorHAnsi"/>
          <w:color w:val="000000"/>
          <w:lang w:val="es-UY" w:eastAsia="ru-RU"/>
        </w:rPr>
        <w:t>Como se muestra en la figura 2, m</w:t>
      </w:r>
      <w:r w:rsidRPr="00660813">
        <w:rPr>
          <w:rFonts w:asciiTheme="minorHAnsi" w:hAnsiTheme="minorHAnsi" w:cstheme="minorHAnsi"/>
          <w:color w:val="000000"/>
          <w:lang w:val="es-UY" w:eastAsia="ru-RU"/>
        </w:rPr>
        <w:t>ediante este análisis detectamos la presencia de cuatro linajes co-circulantes con distinta prevalencia, tres de ellos previamente descritos (VT, T3 y T36) y el cuarto identificado en este trabajo, denominado nuevo clado, NC</w:t>
      </w:r>
      <w:r w:rsidR="006259C0">
        <w:rPr>
          <w:rFonts w:asciiTheme="minorHAnsi" w:hAnsiTheme="minorHAnsi" w:cstheme="minorHAnsi"/>
          <w:color w:val="000000"/>
          <w:lang w:val="es-UY" w:eastAsia="ru-RU"/>
        </w:rPr>
        <w:t xml:space="preserve"> (Benítez-Galeano </w:t>
      </w:r>
      <w:r w:rsidR="006259C0">
        <w:rPr>
          <w:rFonts w:asciiTheme="minorHAnsi" w:hAnsiTheme="minorHAnsi" w:cstheme="minorHAnsi"/>
          <w:i/>
          <w:color w:val="000000"/>
          <w:lang w:val="es-UY" w:eastAsia="ru-RU"/>
        </w:rPr>
        <w:t>et al.</w:t>
      </w:r>
      <w:r w:rsidR="006259C0">
        <w:rPr>
          <w:rFonts w:asciiTheme="minorHAnsi" w:hAnsiTheme="minorHAnsi" w:cstheme="minorHAnsi"/>
          <w:color w:val="000000"/>
          <w:lang w:val="es-UY" w:eastAsia="ru-RU"/>
        </w:rPr>
        <w:t>, 2015)</w:t>
      </w:r>
      <w:r w:rsidRPr="00660813">
        <w:rPr>
          <w:rFonts w:asciiTheme="minorHAnsi" w:hAnsiTheme="minorHAnsi" w:cstheme="minorHAnsi"/>
          <w:color w:val="000000"/>
          <w:lang w:val="es-UY" w:eastAsia="ru-RU"/>
        </w:rPr>
        <w:t xml:space="preserve">. Este último linaje está compuesto por aislados de Uruguay y Argentina, así como de países de los cinco continentes. </w:t>
      </w:r>
      <w:r w:rsidRPr="00660813">
        <w:rPr>
          <w:rFonts w:asciiTheme="minorHAnsi" w:hAnsiTheme="minorHAnsi" w:cstheme="minorHAnsi"/>
          <w:lang w:val="es-UY"/>
        </w:rPr>
        <w:t xml:space="preserve">El genotipo más prevalente fue el genotipo VT, como ha sido reportado para el resto del mundo. </w:t>
      </w:r>
      <w:r w:rsidRPr="00660813">
        <w:rPr>
          <w:rFonts w:asciiTheme="minorHAnsi" w:hAnsiTheme="minorHAnsi" w:cstheme="minorHAnsi"/>
          <w:color w:val="000000"/>
          <w:lang w:val="es-UY" w:eastAsia="ru-RU"/>
        </w:rPr>
        <w:t xml:space="preserve">Estos resultados muestran que las cepas que circulan en nuestro país presentan una gran variabilidad genética, así como las que circulan en la región y el mundo. </w:t>
      </w:r>
    </w:p>
    <w:p w:rsidR="001F35DD" w:rsidRPr="00660813" w:rsidRDefault="001F35DD" w:rsidP="000F59EE">
      <w:pPr>
        <w:spacing w:line="276" w:lineRule="auto"/>
        <w:rPr>
          <w:rFonts w:asciiTheme="minorHAnsi" w:hAnsiTheme="minorHAnsi" w:cstheme="minorHAnsi"/>
          <w:b/>
          <w:lang w:val="es-UY"/>
        </w:rPr>
      </w:pPr>
    </w:p>
    <w:p w:rsidR="00CD539D" w:rsidRPr="00660813" w:rsidRDefault="009C4D71" w:rsidP="000F59EE">
      <w:pPr>
        <w:spacing w:line="276" w:lineRule="auto"/>
        <w:rPr>
          <w:rFonts w:asciiTheme="minorHAnsi" w:hAnsiTheme="minorHAnsi" w:cstheme="minorHAnsi"/>
          <w:b/>
        </w:rPr>
      </w:pPr>
      <w:r w:rsidRPr="00660813">
        <w:rPr>
          <w:rFonts w:asciiTheme="minorHAnsi" w:hAnsiTheme="minorHAnsi" w:cstheme="minorHAnsi"/>
          <w:b/>
          <w:noProof/>
          <w:lang w:val="es-UY" w:eastAsia="es-UY"/>
        </w:rPr>
        <w:drawing>
          <wp:anchor distT="0" distB="0" distL="114300" distR="114300" simplePos="0" relativeHeight="251660288" behindDoc="1" locked="0" layoutInCell="1" allowOverlap="1">
            <wp:simplePos x="0" y="0"/>
            <wp:positionH relativeFrom="column">
              <wp:posOffset>710565</wp:posOffset>
            </wp:positionH>
            <wp:positionV relativeFrom="paragraph">
              <wp:posOffset>187325</wp:posOffset>
            </wp:positionV>
            <wp:extent cx="3765550" cy="3829050"/>
            <wp:effectExtent l="19050" t="0" r="6350" b="0"/>
            <wp:wrapTight wrapText="bothSides">
              <wp:wrapPolygon edited="0">
                <wp:start x="-109" y="0"/>
                <wp:lineTo x="-109" y="21493"/>
                <wp:lineTo x="21636" y="21493"/>
                <wp:lineTo x="21636" y="0"/>
                <wp:lineTo x="-109" y="0"/>
              </wp:wrapPolygon>
            </wp:wrapTight>
            <wp:docPr id="3" name="2 Imagen" descr="150423_Arbol p25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23_Arbol p25 paper.tif"/>
                    <pic:cNvPicPr/>
                  </pic:nvPicPr>
                  <pic:blipFill>
                    <a:blip r:embed="rId10"/>
                    <a:stretch>
                      <a:fillRect/>
                    </a:stretch>
                  </pic:blipFill>
                  <pic:spPr>
                    <a:xfrm>
                      <a:off x="0" y="0"/>
                      <a:ext cx="3765550" cy="3829050"/>
                    </a:xfrm>
                    <a:prstGeom prst="rect">
                      <a:avLst/>
                    </a:prstGeom>
                  </pic:spPr>
                </pic:pic>
              </a:graphicData>
            </a:graphic>
          </wp:anchor>
        </w:drawing>
      </w:r>
    </w:p>
    <w:p w:rsidR="00CD539D" w:rsidRPr="00660813" w:rsidRDefault="00CD539D" w:rsidP="000F59EE">
      <w:pPr>
        <w:spacing w:line="276" w:lineRule="auto"/>
        <w:rPr>
          <w:rFonts w:asciiTheme="minorHAnsi" w:hAnsiTheme="minorHAnsi" w:cstheme="minorHAnsi"/>
          <w:b/>
        </w:rPr>
      </w:pPr>
    </w:p>
    <w:p w:rsidR="000F59EE" w:rsidRPr="00660813" w:rsidRDefault="000F59EE" w:rsidP="000F59EE">
      <w:pPr>
        <w:spacing w:line="276" w:lineRule="auto"/>
        <w:rPr>
          <w:rFonts w:asciiTheme="minorHAnsi" w:hAnsiTheme="minorHAnsi" w:cstheme="minorHAnsi"/>
          <w:b/>
        </w:rPr>
      </w:pPr>
    </w:p>
    <w:p w:rsidR="000F59EE" w:rsidRPr="00660813" w:rsidRDefault="000F59EE" w:rsidP="000F59EE">
      <w:pPr>
        <w:spacing w:line="276" w:lineRule="auto"/>
        <w:rPr>
          <w:rFonts w:asciiTheme="minorHAnsi" w:hAnsiTheme="minorHAnsi" w:cstheme="minorHAnsi"/>
          <w:b/>
        </w:rPr>
      </w:pPr>
    </w:p>
    <w:p w:rsidR="000F59EE" w:rsidRPr="00660813" w:rsidRDefault="000F59EE" w:rsidP="000F59EE">
      <w:pPr>
        <w:spacing w:line="276" w:lineRule="auto"/>
        <w:rPr>
          <w:rFonts w:asciiTheme="minorHAnsi" w:hAnsiTheme="minorHAnsi" w:cstheme="minorHAnsi"/>
          <w:b/>
        </w:rPr>
      </w:pPr>
    </w:p>
    <w:p w:rsidR="000F59EE" w:rsidRPr="00660813" w:rsidRDefault="000F59EE" w:rsidP="000F59EE">
      <w:pPr>
        <w:spacing w:line="276" w:lineRule="auto"/>
        <w:rPr>
          <w:rFonts w:asciiTheme="minorHAnsi" w:hAnsiTheme="minorHAnsi" w:cstheme="minorHAnsi"/>
          <w:b/>
        </w:rPr>
      </w:pPr>
    </w:p>
    <w:p w:rsidR="000F59EE" w:rsidRPr="00660813" w:rsidRDefault="000F59EE" w:rsidP="000F59EE">
      <w:pPr>
        <w:spacing w:line="276" w:lineRule="auto"/>
        <w:rPr>
          <w:rFonts w:asciiTheme="minorHAnsi" w:hAnsiTheme="minorHAnsi" w:cstheme="minorHAnsi"/>
          <w:b/>
        </w:rPr>
      </w:pPr>
    </w:p>
    <w:p w:rsidR="000F59EE" w:rsidRPr="00660813" w:rsidRDefault="000F59EE" w:rsidP="000F59EE">
      <w:pPr>
        <w:spacing w:line="276" w:lineRule="auto"/>
        <w:rPr>
          <w:rFonts w:asciiTheme="minorHAnsi" w:hAnsiTheme="minorHAnsi" w:cstheme="minorHAnsi"/>
          <w:b/>
        </w:rPr>
      </w:pPr>
    </w:p>
    <w:p w:rsidR="000F59EE" w:rsidRPr="00660813" w:rsidRDefault="000F59EE" w:rsidP="000F59EE">
      <w:pPr>
        <w:spacing w:line="276" w:lineRule="auto"/>
        <w:rPr>
          <w:rFonts w:asciiTheme="minorHAnsi" w:hAnsiTheme="minorHAnsi" w:cstheme="minorHAnsi"/>
          <w:b/>
        </w:rPr>
      </w:pPr>
    </w:p>
    <w:p w:rsidR="000F59EE" w:rsidRPr="00660813" w:rsidRDefault="000F59EE" w:rsidP="000F59EE">
      <w:pPr>
        <w:jc w:val="center"/>
        <w:rPr>
          <w:rFonts w:asciiTheme="minorHAnsi" w:hAnsiTheme="minorHAnsi" w:cstheme="minorHAnsi"/>
        </w:rPr>
      </w:pPr>
    </w:p>
    <w:p w:rsidR="000F59EE" w:rsidRPr="00660813" w:rsidRDefault="000F59EE" w:rsidP="000F59EE">
      <w:pPr>
        <w:rPr>
          <w:rFonts w:asciiTheme="minorHAnsi" w:hAnsiTheme="minorHAnsi" w:cstheme="minorHAnsi"/>
        </w:rPr>
      </w:pPr>
      <w:r w:rsidRPr="00660813">
        <w:rPr>
          <w:rFonts w:asciiTheme="minorHAnsi" w:hAnsiTheme="minorHAnsi" w:cstheme="minorHAnsi"/>
          <w:sz w:val="16"/>
          <w:szCs w:val="16"/>
        </w:rPr>
        <w:t xml:space="preserve">              </w:t>
      </w: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9C4D71" w:rsidRPr="00660813" w:rsidRDefault="009C4D71" w:rsidP="000F59EE">
      <w:pPr>
        <w:rPr>
          <w:rFonts w:asciiTheme="minorHAnsi" w:hAnsiTheme="minorHAnsi" w:cstheme="minorHAnsi"/>
          <w:b/>
          <w:sz w:val="18"/>
        </w:rPr>
      </w:pPr>
    </w:p>
    <w:p w:rsidR="000F59EE" w:rsidRPr="00660813" w:rsidRDefault="00CD539D" w:rsidP="000F59EE">
      <w:pPr>
        <w:rPr>
          <w:rFonts w:asciiTheme="minorHAnsi" w:hAnsiTheme="minorHAnsi" w:cstheme="minorHAnsi"/>
          <w:sz w:val="18"/>
        </w:rPr>
      </w:pPr>
      <w:r w:rsidRPr="00660813">
        <w:rPr>
          <w:rFonts w:asciiTheme="minorHAnsi" w:hAnsiTheme="minorHAnsi" w:cstheme="minorHAnsi"/>
          <w:b/>
          <w:sz w:val="18"/>
        </w:rPr>
        <w:t>Figura 2</w:t>
      </w:r>
      <w:r w:rsidR="000F59EE" w:rsidRPr="00660813">
        <w:rPr>
          <w:rFonts w:asciiTheme="minorHAnsi" w:hAnsiTheme="minorHAnsi" w:cstheme="minorHAnsi"/>
          <w:b/>
          <w:sz w:val="18"/>
        </w:rPr>
        <w:t xml:space="preserve">. </w:t>
      </w:r>
      <w:r w:rsidRPr="00660813">
        <w:rPr>
          <w:rFonts w:asciiTheme="minorHAnsi" w:hAnsiTheme="minorHAnsi" w:cstheme="minorHAnsi"/>
          <w:sz w:val="18"/>
        </w:rPr>
        <w:t xml:space="preserve">Árbol filogenético para el gen p25 de CTV donde se muestran los distintos genotipos descritos en la literatura (VT, rojo; T36, violeta; T30, verde; T3, amarillo; RB, azul) y el nuevo linaje (turquesa). En gris se marcan las secuencias de referencia. </w:t>
      </w:r>
      <w:r w:rsidR="009C4D71" w:rsidRPr="00660813">
        <w:rPr>
          <w:rFonts w:asciiTheme="minorHAnsi" w:hAnsiTheme="minorHAnsi" w:cstheme="minorHAnsi"/>
          <w:sz w:val="18"/>
        </w:rPr>
        <w:t>Los principales nodos con valores de aLRT están indicados.</w:t>
      </w:r>
      <w:r w:rsidR="000F59EE" w:rsidRPr="00660813">
        <w:rPr>
          <w:rFonts w:asciiTheme="minorHAnsi" w:hAnsiTheme="minorHAnsi" w:cstheme="minorHAnsi"/>
          <w:sz w:val="18"/>
        </w:rPr>
        <w:t xml:space="preserve"> </w:t>
      </w:r>
    </w:p>
    <w:p w:rsidR="001F35DD" w:rsidRPr="00660813" w:rsidRDefault="001F35DD" w:rsidP="000F59EE">
      <w:pPr>
        <w:rPr>
          <w:rFonts w:asciiTheme="minorHAnsi" w:hAnsiTheme="minorHAnsi" w:cstheme="minorHAnsi"/>
          <w:sz w:val="18"/>
        </w:rPr>
      </w:pPr>
    </w:p>
    <w:p w:rsidR="001F35DD" w:rsidRPr="00660813" w:rsidRDefault="001F35DD" w:rsidP="000F59EE">
      <w:pPr>
        <w:rPr>
          <w:rFonts w:asciiTheme="minorHAnsi" w:hAnsiTheme="minorHAnsi" w:cstheme="minorHAnsi"/>
        </w:rPr>
      </w:pPr>
      <w:r w:rsidRPr="00660813">
        <w:rPr>
          <w:rFonts w:asciiTheme="minorHAnsi" w:hAnsiTheme="minorHAnsi" w:cstheme="minorHAnsi"/>
        </w:rPr>
        <w:t>En cuanto a la presencia de los virus CTV y CPsV, se han analizado 223 muestras de las cuales 178 resultaron positivas para CTV, mientras que solamente 8 resultaron positivas para CPsV (Figura 3)</w:t>
      </w:r>
    </w:p>
    <w:p w:rsidR="001F35DD" w:rsidRPr="00660813" w:rsidRDefault="001F35DD" w:rsidP="000F59EE">
      <w:pPr>
        <w:rPr>
          <w:rFonts w:asciiTheme="minorHAnsi" w:hAnsiTheme="minorHAnsi" w:cstheme="minorHAnsi"/>
          <w:sz w:val="18"/>
        </w:rPr>
      </w:pPr>
    </w:p>
    <w:p w:rsidR="001F35DD" w:rsidRPr="00660813" w:rsidRDefault="001F35DD" w:rsidP="000F59EE">
      <w:pPr>
        <w:rPr>
          <w:rFonts w:asciiTheme="minorHAnsi" w:hAnsiTheme="minorHAnsi" w:cstheme="minorHAnsi"/>
          <w:sz w:val="18"/>
        </w:rPr>
      </w:pPr>
    </w:p>
    <w:p w:rsidR="001F35DD" w:rsidRPr="00660813" w:rsidRDefault="001F35DD" w:rsidP="000F59EE">
      <w:pPr>
        <w:rPr>
          <w:rFonts w:asciiTheme="minorHAnsi" w:hAnsiTheme="minorHAnsi" w:cstheme="minorHAnsi"/>
          <w:sz w:val="18"/>
        </w:rPr>
      </w:pPr>
    </w:p>
    <w:p w:rsidR="001F35DD" w:rsidRPr="00660813" w:rsidRDefault="001E3A64" w:rsidP="001E3A64">
      <w:pPr>
        <w:jc w:val="center"/>
        <w:rPr>
          <w:rFonts w:asciiTheme="minorHAnsi" w:hAnsiTheme="minorHAnsi" w:cstheme="minorHAnsi"/>
          <w:sz w:val="18"/>
        </w:rPr>
      </w:pPr>
      <w:r w:rsidRPr="00660813">
        <w:rPr>
          <w:rFonts w:asciiTheme="minorHAnsi" w:hAnsiTheme="minorHAnsi" w:cstheme="minorHAnsi"/>
          <w:noProof/>
          <w:lang w:val="es-UY" w:eastAsia="es-UY"/>
        </w:rPr>
        <w:lastRenderedPageBreak/>
        <w:drawing>
          <wp:inline distT="0" distB="0" distL="0" distR="0">
            <wp:extent cx="3362325" cy="1800225"/>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F35DD" w:rsidRPr="00660813" w:rsidRDefault="001F35DD" w:rsidP="000F59EE">
      <w:pPr>
        <w:rPr>
          <w:rFonts w:asciiTheme="minorHAnsi" w:hAnsiTheme="minorHAnsi" w:cstheme="minorHAnsi"/>
          <w:sz w:val="18"/>
        </w:rPr>
      </w:pPr>
    </w:p>
    <w:p w:rsidR="00F730DD" w:rsidRDefault="00F730DD" w:rsidP="001E3A64">
      <w:pPr>
        <w:spacing w:line="276" w:lineRule="auto"/>
        <w:jc w:val="center"/>
        <w:rPr>
          <w:rFonts w:asciiTheme="minorHAnsi" w:hAnsiTheme="minorHAnsi" w:cstheme="minorHAnsi"/>
          <w:b/>
          <w:sz w:val="18"/>
        </w:rPr>
      </w:pPr>
    </w:p>
    <w:p w:rsidR="000F59EE" w:rsidRPr="00660813" w:rsidRDefault="001E3A64" w:rsidP="001E3A64">
      <w:pPr>
        <w:spacing w:line="276" w:lineRule="auto"/>
        <w:jc w:val="center"/>
        <w:rPr>
          <w:rFonts w:asciiTheme="minorHAnsi" w:hAnsiTheme="minorHAnsi" w:cstheme="minorHAnsi"/>
          <w:sz w:val="18"/>
        </w:rPr>
      </w:pPr>
      <w:r w:rsidRPr="00660813">
        <w:rPr>
          <w:rFonts w:asciiTheme="minorHAnsi" w:hAnsiTheme="minorHAnsi" w:cstheme="minorHAnsi"/>
          <w:b/>
          <w:sz w:val="18"/>
        </w:rPr>
        <w:t xml:space="preserve">Figura 3. </w:t>
      </w:r>
      <w:r w:rsidRPr="00660813">
        <w:rPr>
          <w:rFonts w:asciiTheme="minorHAnsi" w:hAnsiTheme="minorHAnsi" w:cstheme="minorHAnsi"/>
          <w:sz w:val="18"/>
        </w:rPr>
        <w:t>Positividad de CTV y CPsV en las muestras analizadas.</w:t>
      </w:r>
    </w:p>
    <w:p w:rsidR="001E3A64" w:rsidRPr="00660813" w:rsidRDefault="001E3A64" w:rsidP="001E3A64">
      <w:pPr>
        <w:spacing w:line="276" w:lineRule="auto"/>
        <w:jc w:val="center"/>
        <w:rPr>
          <w:rFonts w:asciiTheme="minorHAnsi" w:hAnsiTheme="minorHAnsi" w:cstheme="minorHAnsi"/>
          <w:sz w:val="18"/>
        </w:rPr>
      </w:pPr>
    </w:p>
    <w:p w:rsidR="001E3A64" w:rsidRPr="00660813" w:rsidRDefault="001E3A64" w:rsidP="001E3A64">
      <w:pPr>
        <w:spacing w:line="276" w:lineRule="auto"/>
        <w:jc w:val="center"/>
        <w:rPr>
          <w:rFonts w:asciiTheme="minorHAnsi" w:hAnsiTheme="minorHAnsi" w:cstheme="minorHAnsi"/>
          <w:sz w:val="18"/>
        </w:rPr>
      </w:pPr>
    </w:p>
    <w:p w:rsidR="001E3A64" w:rsidRPr="00660813" w:rsidRDefault="001E3A64" w:rsidP="007C34A6">
      <w:pPr>
        <w:spacing w:line="276" w:lineRule="auto"/>
        <w:rPr>
          <w:rFonts w:asciiTheme="minorHAnsi" w:hAnsiTheme="minorHAnsi" w:cstheme="minorHAnsi"/>
        </w:rPr>
      </w:pPr>
      <w:r w:rsidRPr="00660813">
        <w:rPr>
          <w:rFonts w:asciiTheme="minorHAnsi" w:hAnsiTheme="minorHAnsi" w:cstheme="minorHAnsi"/>
        </w:rPr>
        <w:t>En cuanto a la positividad de cada virus desglosada por variedad cítrica afectada encontramos que el 60% de las muestras positivas para CTV fueron de naranja, 15% de mandarina y 5% de limón, mientras que el restante 20% fueron negativas. Respecto a CPsV, todas las muestras positivas fueron de naranja y representaron un 4% del total de las muestras analizadas (Figura 4).</w:t>
      </w:r>
      <w:r w:rsidR="007C34A6" w:rsidRPr="00660813">
        <w:rPr>
          <w:rFonts w:asciiTheme="minorHAnsi" w:hAnsiTheme="minorHAnsi" w:cstheme="minorHAnsi"/>
        </w:rPr>
        <w:t xml:space="preserve"> Ninguna de las muestras de mandarina o limón fue positiva para CPsV.</w:t>
      </w:r>
    </w:p>
    <w:p w:rsidR="001E3A64" w:rsidRPr="00660813" w:rsidRDefault="001E3A64" w:rsidP="001E3A64">
      <w:pPr>
        <w:spacing w:line="276" w:lineRule="auto"/>
        <w:jc w:val="left"/>
        <w:rPr>
          <w:rFonts w:asciiTheme="minorHAnsi" w:hAnsiTheme="minorHAnsi" w:cstheme="minorHAnsi"/>
        </w:rPr>
      </w:pPr>
    </w:p>
    <w:p w:rsidR="001E3A64" w:rsidRPr="00660813" w:rsidRDefault="001E3A64" w:rsidP="007C34A6">
      <w:pPr>
        <w:spacing w:line="276" w:lineRule="auto"/>
        <w:jc w:val="center"/>
        <w:rPr>
          <w:rFonts w:asciiTheme="minorHAnsi" w:hAnsiTheme="minorHAnsi" w:cstheme="minorHAnsi"/>
          <w:b/>
        </w:rPr>
      </w:pPr>
      <w:r w:rsidRPr="00660813">
        <w:rPr>
          <w:rFonts w:asciiTheme="minorHAnsi" w:hAnsiTheme="minorHAnsi" w:cstheme="minorHAnsi"/>
          <w:b/>
          <w:noProof/>
          <w:lang w:val="es-UY" w:eastAsia="es-UY"/>
        </w:rPr>
        <w:drawing>
          <wp:inline distT="0" distB="0" distL="0" distR="0">
            <wp:extent cx="3952875" cy="2495550"/>
            <wp:effectExtent l="19050" t="0" r="9525"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34A6" w:rsidRPr="00660813" w:rsidRDefault="007C34A6" w:rsidP="007C34A6">
      <w:pPr>
        <w:ind w:right="991"/>
        <w:jc w:val="center"/>
        <w:rPr>
          <w:rFonts w:asciiTheme="minorHAnsi" w:hAnsiTheme="minorHAnsi" w:cstheme="minorHAnsi"/>
          <w:b/>
          <w:sz w:val="18"/>
        </w:rPr>
      </w:pPr>
    </w:p>
    <w:p w:rsidR="000F59EE" w:rsidRPr="00660813" w:rsidRDefault="001E3A64" w:rsidP="007C34A6">
      <w:pPr>
        <w:ind w:right="70"/>
        <w:jc w:val="center"/>
        <w:rPr>
          <w:rFonts w:asciiTheme="minorHAnsi" w:hAnsiTheme="minorHAnsi" w:cstheme="minorHAnsi"/>
          <w:sz w:val="18"/>
          <w:szCs w:val="18"/>
          <w:lang w:val="es-ES_tradnl"/>
        </w:rPr>
      </w:pPr>
      <w:r w:rsidRPr="00660813">
        <w:rPr>
          <w:rFonts w:asciiTheme="minorHAnsi" w:hAnsiTheme="minorHAnsi" w:cstheme="minorHAnsi"/>
          <w:b/>
          <w:sz w:val="18"/>
        </w:rPr>
        <w:t xml:space="preserve">Figura </w:t>
      </w:r>
      <w:r w:rsidR="007C34A6" w:rsidRPr="00660813">
        <w:rPr>
          <w:rFonts w:asciiTheme="minorHAnsi" w:hAnsiTheme="minorHAnsi" w:cstheme="minorHAnsi"/>
          <w:b/>
          <w:sz w:val="18"/>
        </w:rPr>
        <w:t>4</w:t>
      </w:r>
      <w:r w:rsidRPr="00660813">
        <w:rPr>
          <w:rFonts w:asciiTheme="minorHAnsi" w:hAnsiTheme="minorHAnsi" w:cstheme="minorHAnsi"/>
          <w:b/>
          <w:sz w:val="18"/>
        </w:rPr>
        <w:t xml:space="preserve">. </w:t>
      </w:r>
      <w:r w:rsidRPr="00660813">
        <w:rPr>
          <w:rFonts w:asciiTheme="minorHAnsi" w:hAnsiTheme="minorHAnsi" w:cstheme="minorHAnsi"/>
          <w:sz w:val="18"/>
        </w:rPr>
        <w:t>Positividad de CTV y CPsV en las muestras analizadas</w:t>
      </w:r>
      <w:r w:rsidR="007C34A6" w:rsidRPr="00660813">
        <w:rPr>
          <w:rFonts w:asciiTheme="minorHAnsi" w:hAnsiTheme="minorHAnsi" w:cstheme="minorHAnsi"/>
          <w:sz w:val="18"/>
        </w:rPr>
        <w:t xml:space="preserve"> distribuido por variedad cítrica</w:t>
      </w:r>
      <w:r w:rsidRPr="00660813">
        <w:rPr>
          <w:rFonts w:asciiTheme="minorHAnsi" w:hAnsiTheme="minorHAnsi" w:cstheme="minorHAnsi"/>
          <w:sz w:val="18"/>
        </w:rPr>
        <w:t>.</w:t>
      </w:r>
    </w:p>
    <w:p w:rsidR="000F59EE" w:rsidRPr="00660813" w:rsidRDefault="000F59EE" w:rsidP="000F59EE">
      <w:pPr>
        <w:spacing w:line="276" w:lineRule="auto"/>
        <w:rPr>
          <w:rFonts w:asciiTheme="minorHAnsi" w:hAnsiTheme="minorHAnsi" w:cstheme="minorHAnsi"/>
        </w:rPr>
      </w:pPr>
      <w:r w:rsidRPr="00660813">
        <w:rPr>
          <w:rFonts w:asciiTheme="minorHAnsi" w:hAnsiTheme="minorHAnsi" w:cstheme="minorHAnsi"/>
        </w:rPr>
        <w:t xml:space="preserve">         </w:t>
      </w:r>
    </w:p>
    <w:p w:rsidR="00660813" w:rsidRDefault="00660813" w:rsidP="000F59EE">
      <w:pPr>
        <w:spacing w:line="276" w:lineRule="auto"/>
        <w:rPr>
          <w:rFonts w:asciiTheme="minorHAnsi" w:hAnsiTheme="minorHAnsi" w:cstheme="minorHAnsi"/>
        </w:rPr>
      </w:pPr>
      <w:r w:rsidRPr="00660813">
        <w:rPr>
          <w:rFonts w:asciiTheme="minorHAnsi" w:hAnsiTheme="minorHAnsi" w:cstheme="minorHAnsi"/>
        </w:rPr>
        <w:t>Por último, respecto a la caracterización de los aislados de CTV</w:t>
      </w:r>
      <w:r>
        <w:rPr>
          <w:rFonts w:asciiTheme="minorHAnsi" w:hAnsiTheme="minorHAnsi" w:cstheme="minorHAnsi"/>
        </w:rPr>
        <w:t>, encontramos que un 8% de los aislados corresponde al genotipo VT descrito como el prevalente en el mundo, un 1% de las muestras fueron del genotipo T3, y sorprendentemente el restante 91% de las muestras secuenciadas para el gen p25 corresponden al nuevo clado descrito previamente por nuestro grupo (Figura 5). Esta redistribución aparente en la prevalencia de los distintos genotipos en nuestro país es de suma importancia el tenerla en cuenta a la hora de buscar aislados protectivos para el futuro plan de protección cruzada.</w:t>
      </w:r>
    </w:p>
    <w:p w:rsidR="00660813" w:rsidRDefault="00660813" w:rsidP="000F59EE">
      <w:pPr>
        <w:spacing w:line="276" w:lineRule="auto"/>
        <w:rPr>
          <w:rFonts w:asciiTheme="minorHAnsi" w:hAnsiTheme="minorHAnsi" w:cstheme="minorHAnsi"/>
        </w:rPr>
      </w:pPr>
    </w:p>
    <w:p w:rsidR="00660813" w:rsidRPr="00660813" w:rsidRDefault="00660813" w:rsidP="000F59EE">
      <w:pPr>
        <w:spacing w:line="276" w:lineRule="auto"/>
        <w:rPr>
          <w:rFonts w:asciiTheme="minorHAnsi" w:hAnsiTheme="minorHAnsi" w:cstheme="minorHAnsi"/>
          <w:b/>
        </w:rPr>
      </w:pPr>
      <w:r>
        <w:rPr>
          <w:rFonts w:asciiTheme="minorHAnsi" w:hAnsiTheme="minorHAnsi" w:cstheme="minorHAnsi"/>
          <w:b/>
          <w:noProof/>
          <w:lang w:val="es-UY" w:eastAsia="es-UY"/>
        </w:rPr>
        <w:lastRenderedPageBreak/>
        <w:drawing>
          <wp:anchor distT="0" distB="0" distL="114300" distR="114300" simplePos="0" relativeHeight="251661312" behindDoc="1" locked="0" layoutInCell="1" allowOverlap="1">
            <wp:simplePos x="0" y="0"/>
            <wp:positionH relativeFrom="column">
              <wp:posOffset>1387475</wp:posOffset>
            </wp:positionH>
            <wp:positionV relativeFrom="paragraph">
              <wp:posOffset>47625</wp:posOffset>
            </wp:positionV>
            <wp:extent cx="2925445" cy="3243580"/>
            <wp:effectExtent l="19050" t="19050" r="27305" b="13970"/>
            <wp:wrapTight wrapText="bothSides">
              <wp:wrapPolygon edited="0">
                <wp:start x="-141" y="-127"/>
                <wp:lineTo x="-141" y="21693"/>
                <wp:lineTo x="21802" y="21693"/>
                <wp:lineTo x="21802" y="-127"/>
                <wp:lineTo x="-141" y="-127"/>
              </wp:wrapPolygon>
            </wp:wrapTight>
            <wp:docPr id="8" name="7 Imagen" descr="p25 FP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5 FPTA.png"/>
                    <pic:cNvPicPr/>
                  </pic:nvPicPr>
                  <pic:blipFill>
                    <a:blip r:embed="rId13"/>
                    <a:stretch>
                      <a:fillRect/>
                    </a:stretch>
                  </pic:blipFill>
                  <pic:spPr>
                    <a:xfrm>
                      <a:off x="0" y="0"/>
                      <a:ext cx="2925445" cy="3243580"/>
                    </a:xfrm>
                    <a:prstGeom prst="rect">
                      <a:avLst/>
                    </a:prstGeom>
                    <a:ln w="12700">
                      <a:solidFill>
                        <a:sysClr val="windowText" lastClr="000000"/>
                      </a:solidFill>
                    </a:ln>
                  </pic:spPr>
                </pic:pic>
              </a:graphicData>
            </a:graphic>
          </wp:anchor>
        </w:drawing>
      </w:r>
    </w:p>
    <w:p w:rsidR="000F59EE" w:rsidRPr="00660813" w:rsidRDefault="000F59EE" w:rsidP="000F59EE">
      <w:pPr>
        <w:spacing w:line="276" w:lineRule="auto"/>
        <w:rPr>
          <w:rFonts w:asciiTheme="minorHAnsi" w:hAnsiTheme="minorHAnsi" w:cstheme="minorHAnsi"/>
          <w:b/>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60813" w:rsidRPr="00CA71ED" w:rsidRDefault="00660813" w:rsidP="000F59EE">
      <w:pPr>
        <w:spacing w:line="276" w:lineRule="auto"/>
        <w:rPr>
          <w:rFonts w:asciiTheme="minorHAnsi" w:hAnsiTheme="minorHAnsi" w:cstheme="minorHAnsi"/>
          <w:b/>
          <w:lang w:val="es-UY"/>
        </w:rPr>
      </w:pPr>
    </w:p>
    <w:p w:rsidR="006259C0" w:rsidRPr="00660813" w:rsidRDefault="006259C0" w:rsidP="006259C0">
      <w:pPr>
        <w:rPr>
          <w:rFonts w:asciiTheme="minorHAnsi" w:hAnsiTheme="minorHAnsi" w:cstheme="minorHAnsi"/>
          <w:sz w:val="18"/>
        </w:rPr>
      </w:pPr>
      <w:r w:rsidRPr="00660813">
        <w:rPr>
          <w:rFonts w:asciiTheme="minorHAnsi" w:hAnsiTheme="minorHAnsi" w:cstheme="minorHAnsi"/>
          <w:b/>
          <w:sz w:val="18"/>
        </w:rPr>
        <w:t xml:space="preserve">Figura </w:t>
      </w:r>
      <w:r>
        <w:rPr>
          <w:rFonts w:asciiTheme="minorHAnsi" w:hAnsiTheme="minorHAnsi" w:cstheme="minorHAnsi"/>
          <w:b/>
          <w:sz w:val="18"/>
        </w:rPr>
        <w:t>5</w:t>
      </w:r>
      <w:r w:rsidRPr="00660813">
        <w:rPr>
          <w:rFonts w:asciiTheme="minorHAnsi" w:hAnsiTheme="minorHAnsi" w:cstheme="minorHAnsi"/>
          <w:b/>
          <w:sz w:val="18"/>
        </w:rPr>
        <w:t xml:space="preserve">. </w:t>
      </w:r>
      <w:r w:rsidRPr="00660813">
        <w:rPr>
          <w:rFonts w:asciiTheme="minorHAnsi" w:hAnsiTheme="minorHAnsi" w:cstheme="minorHAnsi"/>
          <w:sz w:val="18"/>
        </w:rPr>
        <w:t xml:space="preserve">Árbol filogenético para el gen p25 de </w:t>
      </w:r>
      <w:r>
        <w:rPr>
          <w:rFonts w:asciiTheme="minorHAnsi" w:hAnsiTheme="minorHAnsi" w:cstheme="minorHAnsi"/>
          <w:sz w:val="18"/>
        </w:rPr>
        <w:t xml:space="preserve">aislados Uruguayos de </w:t>
      </w:r>
      <w:r w:rsidRPr="00660813">
        <w:rPr>
          <w:rFonts w:asciiTheme="minorHAnsi" w:hAnsiTheme="minorHAnsi" w:cstheme="minorHAnsi"/>
          <w:sz w:val="18"/>
        </w:rPr>
        <w:t>CTV</w:t>
      </w:r>
      <w:r>
        <w:rPr>
          <w:rFonts w:asciiTheme="minorHAnsi" w:hAnsiTheme="minorHAnsi" w:cstheme="minorHAnsi"/>
          <w:sz w:val="18"/>
        </w:rPr>
        <w:t>. S</w:t>
      </w:r>
      <w:r w:rsidRPr="00660813">
        <w:rPr>
          <w:rFonts w:asciiTheme="minorHAnsi" w:hAnsiTheme="minorHAnsi" w:cstheme="minorHAnsi"/>
          <w:sz w:val="18"/>
        </w:rPr>
        <w:t xml:space="preserve">e muestran los distintos genotipos </w:t>
      </w:r>
      <w:r>
        <w:rPr>
          <w:rFonts w:asciiTheme="minorHAnsi" w:hAnsiTheme="minorHAnsi" w:cstheme="minorHAnsi"/>
          <w:sz w:val="18"/>
        </w:rPr>
        <w:t xml:space="preserve">descritos </w:t>
      </w:r>
      <w:r w:rsidRPr="00660813">
        <w:rPr>
          <w:rFonts w:asciiTheme="minorHAnsi" w:hAnsiTheme="minorHAnsi" w:cstheme="minorHAnsi"/>
          <w:sz w:val="18"/>
        </w:rPr>
        <w:t xml:space="preserve">(VT, rojo; T36, violeta; T30, verde; T3, amarillo; RB, azul) y el nuevo linaje (turquesa). En gris se marcan las secuencias de referencia. Los valores de aLRT están indicados. </w:t>
      </w:r>
    </w:p>
    <w:p w:rsidR="00660813" w:rsidRPr="006259C0" w:rsidRDefault="00660813" w:rsidP="000F59EE">
      <w:pPr>
        <w:spacing w:line="276" w:lineRule="auto"/>
        <w:rPr>
          <w:rFonts w:asciiTheme="minorHAnsi" w:hAnsiTheme="minorHAnsi" w:cstheme="minorHAnsi"/>
          <w:b/>
          <w:lang w:val="es-UY"/>
        </w:rPr>
      </w:pPr>
    </w:p>
    <w:p w:rsidR="00660813" w:rsidRPr="006259C0" w:rsidRDefault="00660813" w:rsidP="000F59EE">
      <w:pPr>
        <w:spacing w:line="276" w:lineRule="auto"/>
        <w:rPr>
          <w:rFonts w:asciiTheme="minorHAnsi" w:hAnsiTheme="minorHAnsi" w:cstheme="minorHAnsi"/>
          <w:b/>
          <w:lang w:val="es-UY"/>
        </w:rPr>
      </w:pPr>
    </w:p>
    <w:p w:rsidR="002D597F" w:rsidRPr="00CA71ED" w:rsidRDefault="000F59EE" w:rsidP="000F59EE">
      <w:pPr>
        <w:spacing w:line="276" w:lineRule="auto"/>
        <w:rPr>
          <w:rFonts w:asciiTheme="minorHAnsi" w:hAnsiTheme="minorHAnsi" w:cstheme="minorHAnsi"/>
          <w:b/>
          <w:lang w:val="es-UY"/>
        </w:rPr>
      </w:pPr>
      <w:r w:rsidRPr="00CA71ED">
        <w:rPr>
          <w:rFonts w:asciiTheme="minorHAnsi" w:hAnsiTheme="minorHAnsi" w:cstheme="minorHAnsi"/>
          <w:b/>
          <w:lang w:val="es-UY"/>
        </w:rPr>
        <w:t>Conclusiones</w:t>
      </w:r>
    </w:p>
    <w:p w:rsidR="00F649D8" w:rsidRPr="00CA71ED" w:rsidRDefault="00F649D8" w:rsidP="000F59EE">
      <w:pPr>
        <w:spacing w:line="276" w:lineRule="auto"/>
        <w:rPr>
          <w:rFonts w:asciiTheme="minorHAnsi" w:hAnsiTheme="minorHAnsi" w:cstheme="minorHAnsi"/>
          <w:b/>
          <w:lang w:val="es-UY"/>
        </w:rPr>
      </w:pPr>
    </w:p>
    <w:p w:rsidR="001F35DD" w:rsidRPr="00660813" w:rsidRDefault="009C4D71" w:rsidP="001F35DD">
      <w:pPr>
        <w:spacing w:line="276" w:lineRule="auto"/>
        <w:rPr>
          <w:rFonts w:asciiTheme="minorHAnsi" w:hAnsiTheme="minorHAnsi" w:cstheme="minorHAnsi"/>
          <w:lang w:val="es-UY"/>
        </w:rPr>
      </w:pPr>
      <w:r w:rsidRPr="00660813">
        <w:rPr>
          <w:rFonts w:asciiTheme="minorHAnsi" w:hAnsiTheme="minorHAnsi" w:cstheme="minorHAnsi"/>
          <w:lang w:val="es-UY"/>
        </w:rPr>
        <w:t>Los resultados del presente estudio contribuyen con un mejor entendimiento de las diversas poblaciones de CTV que circulan en nuestro país, brindando información para el desarrollo de planes de protección cruzada apropiados a nuestra región geográfica. Los datos presentados aquí, muestran los distintos genotipos de CTV que circulan en Uruguay. La presencia del nuevo linaje genético refleja la continua diversificación del virus, reafirmando la importancia de estudios genómicos profundos y una vigilancia constante. La necesidad de análisis posteriores, como la caracterización biológica y la secuenciación del genoma completo de CTV del nuevo linaje</w:t>
      </w:r>
      <w:r w:rsidR="00B679FC" w:rsidRPr="00660813">
        <w:rPr>
          <w:rFonts w:asciiTheme="minorHAnsi" w:hAnsiTheme="minorHAnsi" w:cstheme="minorHAnsi"/>
          <w:lang w:val="es-UY"/>
        </w:rPr>
        <w:t xml:space="preserve">, </w:t>
      </w:r>
      <w:r w:rsidR="001F35DD" w:rsidRPr="00660813">
        <w:rPr>
          <w:rFonts w:asciiTheme="minorHAnsi" w:hAnsiTheme="minorHAnsi" w:cstheme="minorHAnsi"/>
          <w:lang w:val="es-UY"/>
        </w:rPr>
        <w:t>son de gran importancia para caracterizar completamente este nuevo genotipo y a su vez utilizarlo como aislado preinmunizador promisorio para la protección cruzada.</w:t>
      </w:r>
    </w:p>
    <w:p w:rsidR="002D597F" w:rsidRDefault="001F35DD" w:rsidP="001F35DD">
      <w:pPr>
        <w:spacing w:line="276" w:lineRule="auto"/>
        <w:rPr>
          <w:rFonts w:asciiTheme="minorHAnsi" w:hAnsiTheme="minorHAnsi" w:cstheme="minorHAnsi"/>
          <w:lang w:val="es-UY"/>
        </w:rPr>
      </w:pPr>
      <w:r w:rsidRPr="00660813">
        <w:rPr>
          <w:rFonts w:asciiTheme="minorHAnsi" w:hAnsiTheme="minorHAnsi" w:cstheme="minorHAnsi"/>
          <w:lang w:val="es-UY"/>
        </w:rPr>
        <w:t>La vigilancia continua es importante para detectar la presencia de nuevos genotipos de CT</w:t>
      </w:r>
      <w:r w:rsidR="008F388B" w:rsidRPr="00660813">
        <w:rPr>
          <w:rFonts w:asciiTheme="minorHAnsi" w:hAnsiTheme="minorHAnsi" w:cstheme="minorHAnsi"/>
          <w:lang w:val="es-UY"/>
        </w:rPr>
        <w:t>V</w:t>
      </w:r>
      <w:r w:rsidRPr="00660813">
        <w:rPr>
          <w:rFonts w:asciiTheme="minorHAnsi" w:hAnsiTheme="minorHAnsi" w:cstheme="minorHAnsi"/>
          <w:lang w:val="es-UY"/>
        </w:rPr>
        <w:t xml:space="preserve"> que puedan causar problemas en la industria, así como también la presencia y distribución de CPsV y CEVd para un manejo y control adecuados.</w:t>
      </w:r>
    </w:p>
    <w:p w:rsidR="00F649D8" w:rsidRPr="00660813" w:rsidRDefault="00F649D8" w:rsidP="001F35DD">
      <w:pPr>
        <w:spacing w:line="276" w:lineRule="auto"/>
        <w:rPr>
          <w:rFonts w:asciiTheme="minorHAnsi" w:hAnsiTheme="minorHAnsi" w:cstheme="minorHAnsi"/>
          <w:lang w:val="es-UY"/>
        </w:rPr>
      </w:pPr>
    </w:p>
    <w:p w:rsidR="000F59EE" w:rsidRPr="00660813" w:rsidRDefault="000F59EE" w:rsidP="000F59EE">
      <w:pPr>
        <w:spacing w:line="276" w:lineRule="auto"/>
        <w:rPr>
          <w:rFonts w:asciiTheme="minorHAnsi" w:hAnsiTheme="minorHAnsi" w:cstheme="minorHAnsi"/>
          <w:b/>
          <w:lang w:val="es-UY"/>
        </w:rPr>
      </w:pPr>
    </w:p>
    <w:p w:rsidR="000F59EE" w:rsidRPr="00660813" w:rsidRDefault="000F59EE" w:rsidP="000F59EE">
      <w:pPr>
        <w:spacing w:line="276" w:lineRule="auto"/>
        <w:rPr>
          <w:rFonts w:asciiTheme="minorHAnsi" w:hAnsiTheme="minorHAnsi" w:cstheme="minorHAnsi"/>
          <w:b/>
          <w:lang w:val="en-US"/>
        </w:rPr>
      </w:pPr>
      <w:r w:rsidRPr="00660813">
        <w:rPr>
          <w:rFonts w:asciiTheme="minorHAnsi" w:hAnsiTheme="minorHAnsi" w:cstheme="minorHAnsi"/>
          <w:b/>
          <w:lang w:val="en-US"/>
        </w:rPr>
        <w:t>Bibliografía</w:t>
      </w:r>
    </w:p>
    <w:p w:rsidR="00C3197A" w:rsidRPr="00660813" w:rsidRDefault="00C3197A" w:rsidP="000F59EE">
      <w:pPr>
        <w:spacing w:line="276" w:lineRule="auto"/>
        <w:rPr>
          <w:rFonts w:asciiTheme="minorHAnsi" w:hAnsiTheme="minorHAnsi" w:cstheme="minorHAnsi"/>
          <w:b/>
          <w:lang w:val="en-US"/>
        </w:rPr>
      </w:pPr>
    </w:p>
    <w:p w:rsidR="006259C0" w:rsidRPr="006259C0" w:rsidRDefault="006259C0" w:rsidP="008F388B">
      <w:pPr>
        <w:autoSpaceDE w:val="0"/>
        <w:autoSpaceDN w:val="0"/>
        <w:adjustRightInd w:val="0"/>
        <w:spacing w:after="120"/>
        <w:rPr>
          <w:rFonts w:asciiTheme="minorHAnsi" w:hAnsiTheme="minorHAnsi" w:cstheme="minorHAnsi"/>
          <w:sz w:val="20"/>
          <w:szCs w:val="20"/>
          <w:lang w:val="en-US" w:eastAsia="es-UY"/>
        </w:rPr>
      </w:pPr>
      <w:r w:rsidRPr="006259C0">
        <w:rPr>
          <w:rFonts w:asciiTheme="minorHAnsi" w:hAnsiTheme="minorHAnsi" w:cstheme="minorHAnsi"/>
          <w:b/>
          <w:sz w:val="20"/>
          <w:szCs w:val="20"/>
          <w:lang w:val="en-US" w:eastAsia="es-UY"/>
        </w:rPr>
        <w:t xml:space="preserve">Benítez-Galeano, MJ; Rubio, L; Bertalmío, A; Maeso, D; Rivas, F; Colina; R. </w:t>
      </w:r>
      <w:r w:rsidRPr="006259C0">
        <w:rPr>
          <w:rFonts w:asciiTheme="minorHAnsi" w:hAnsiTheme="minorHAnsi" w:cstheme="minorHAnsi"/>
          <w:sz w:val="20"/>
          <w:szCs w:val="20"/>
          <w:lang w:val="en-US" w:eastAsia="es-UY"/>
        </w:rPr>
        <w:t>Phylogenetic studies of the three RNA silencing suppressor genes</w:t>
      </w:r>
      <w:r>
        <w:rPr>
          <w:rFonts w:asciiTheme="minorHAnsi" w:hAnsiTheme="minorHAnsi" w:cstheme="minorHAnsi"/>
          <w:sz w:val="20"/>
          <w:szCs w:val="20"/>
          <w:lang w:val="en-US" w:eastAsia="es-UY"/>
        </w:rPr>
        <w:t xml:space="preserve"> of South American CTV isolates reveal the circulation of a novel genetic lineage. </w:t>
      </w:r>
      <w:r>
        <w:rPr>
          <w:rFonts w:asciiTheme="minorHAnsi" w:hAnsiTheme="minorHAnsi" w:cstheme="minorHAnsi"/>
          <w:i/>
          <w:sz w:val="20"/>
          <w:szCs w:val="20"/>
          <w:lang w:val="en-US" w:eastAsia="es-UY"/>
        </w:rPr>
        <w:t>Viruses.</w:t>
      </w:r>
      <w:r>
        <w:rPr>
          <w:rFonts w:asciiTheme="minorHAnsi" w:hAnsiTheme="minorHAnsi" w:cstheme="minorHAnsi"/>
          <w:sz w:val="20"/>
          <w:szCs w:val="20"/>
          <w:lang w:val="en-US" w:eastAsia="es-UY"/>
        </w:rPr>
        <w:t xml:space="preserve"> 2015, </w:t>
      </w:r>
      <w:r w:rsidRPr="00CA71ED">
        <w:rPr>
          <w:rFonts w:asciiTheme="minorHAnsi" w:hAnsiTheme="minorHAnsi" w:cstheme="minorHAnsi"/>
          <w:sz w:val="20"/>
          <w:szCs w:val="20"/>
          <w:lang w:val="en-US" w:eastAsia="es-UY"/>
        </w:rPr>
        <w:t>7, 4152-4168; doi:10.3390/v7072814.</w:t>
      </w:r>
    </w:p>
    <w:p w:rsidR="000F59EE" w:rsidRPr="00660813" w:rsidRDefault="008F388B" w:rsidP="008F388B">
      <w:pPr>
        <w:autoSpaceDE w:val="0"/>
        <w:autoSpaceDN w:val="0"/>
        <w:adjustRightInd w:val="0"/>
        <w:spacing w:after="120"/>
        <w:rPr>
          <w:rFonts w:asciiTheme="minorHAnsi" w:hAnsiTheme="minorHAnsi" w:cstheme="minorHAnsi"/>
          <w:sz w:val="20"/>
          <w:szCs w:val="20"/>
          <w:lang w:val="en-US" w:eastAsia="es-UY"/>
        </w:rPr>
      </w:pPr>
      <w:r w:rsidRPr="00660813">
        <w:rPr>
          <w:rFonts w:asciiTheme="minorHAnsi" w:hAnsiTheme="minorHAnsi" w:cstheme="minorHAnsi"/>
          <w:b/>
          <w:sz w:val="20"/>
          <w:szCs w:val="20"/>
          <w:lang w:val="en-US" w:eastAsia="es-UY"/>
        </w:rPr>
        <w:t>Roistacher, C.N.; da Graça, J.V.; Müller, G.W.</w:t>
      </w:r>
      <w:r w:rsidRPr="00660813">
        <w:rPr>
          <w:rFonts w:asciiTheme="minorHAnsi" w:hAnsiTheme="minorHAnsi" w:cstheme="minorHAnsi"/>
          <w:sz w:val="20"/>
          <w:szCs w:val="20"/>
          <w:lang w:val="en-US" w:eastAsia="es-UY"/>
        </w:rPr>
        <w:t xml:space="preserve"> Cross Protection Against Citrus Tristeza Virus a Review. In Proceedings of the 17th Conference of the International Organization of Citrus Virologists, 2010; Brlansky, R.H., Lee, R.F., Timmer, L.W., Eds.; IOCV: Riverside, CA, USA, 2010; pp. 1–27.</w:t>
      </w:r>
    </w:p>
    <w:p w:rsidR="008F388B" w:rsidRPr="00660813" w:rsidRDefault="008F388B" w:rsidP="008F388B">
      <w:pPr>
        <w:autoSpaceDE w:val="0"/>
        <w:autoSpaceDN w:val="0"/>
        <w:adjustRightInd w:val="0"/>
        <w:spacing w:after="120"/>
        <w:rPr>
          <w:rFonts w:asciiTheme="minorHAnsi" w:hAnsiTheme="minorHAnsi" w:cstheme="minorHAnsi"/>
          <w:sz w:val="20"/>
          <w:szCs w:val="20"/>
          <w:lang w:val="en-US" w:eastAsia="es-UY"/>
        </w:rPr>
      </w:pPr>
      <w:r w:rsidRPr="00660813">
        <w:rPr>
          <w:rFonts w:asciiTheme="minorHAnsi" w:hAnsiTheme="minorHAnsi" w:cstheme="minorHAnsi"/>
          <w:b/>
          <w:sz w:val="20"/>
          <w:szCs w:val="20"/>
          <w:lang w:val="en-US" w:eastAsia="es-UY"/>
        </w:rPr>
        <w:lastRenderedPageBreak/>
        <w:t>Kong, P.; Rubio, L.; Polek, M.; Falk, B</w:t>
      </w:r>
      <w:r w:rsidRPr="00660813">
        <w:rPr>
          <w:rFonts w:asciiTheme="minorHAnsi" w:hAnsiTheme="minorHAnsi" w:cstheme="minorHAnsi"/>
          <w:sz w:val="20"/>
          <w:szCs w:val="20"/>
          <w:lang w:val="en-US" w:eastAsia="es-UY"/>
        </w:rPr>
        <w:t xml:space="preserve">. Population structure and genetic diversity within California Citrus tristeza virus (CTV) isolates. </w:t>
      </w:r>
      <w:r w:rsidRPr="00660813">
        <w:rPr>
          <w:rFonts w:asciiTheme="minorHAnsi" w:hAnsiTheme="minorHAnsi" w:cstheme="minorHAnsi"/>
          <w:i/>
          <w:sz w:val="20"/>
          <w:szCs w:val="20"/>
          <w:lang w:val="en-US" w:eastAsia="es-UY"/>
        </w:rPr>
        <w:t>Virus Genes</w:t>
      </w:r>
      <w:r w:rsidRPr="00660813">
        <w:rPr>
          <w:rFonts w:asciiTheme="minorHAnsi" w:hAnsiTheme="minorHAnsi" w:cstheme="minorHAnsi"/>
          <w:sz w:val="20"/>
          <w:szCs w:val="20"/>
          <w:lang w:val="en-US" w:eastAsia="es-UY"/>
        </w:rPr>
        <w:t xml:space="preserve"> 2000, 21, 139–145.</w:t>
      </w:r>
    </w:p>
    <w:p w:rsidR="008F388B" w:rsidRPr="00CA71ED" w:rsidRDefault="008F388B" w:rsidP="008F388B">
      <w:pPr>
        <w:autoSpaceDE w:val="0"/>
        <w:autoSpaceDN w:val="0"/>
        <w:adjustRightInd w:val="0"/>
        <w:spacing w:after="120"/>
        <w:rPr>
          <w:rFonts w:asciiTheme="minorHAnsi" w:hAnsiTheme="minorHAnsi" w:cstheme="minorHAnsi"/>
          <w:sz w:val="20"/>
          <w:szCs w:val="20"/>
          <w:lang w:val="en-US" w:eastAsia="es-UY"/>
        </w:rPr>
      </w:pPr>
      <w:r w:rsidRPr="00660813">
        <w:rPr>
          <w:rFonts w:asciiTheme="minorHAnsi" w:hAnsiTheme="minorHAnsi" w:cstheme="minorHAnsi"/>
          <w:b/>
          <w:sz w:val="20"/>
          <w:szCs w:val="20"/>
          <w:lang w:val="en-US" w:eastAsia="es-UY"/>
        </w:rPr>
        <w:t>Rubio, L.; Ayllon, M.A.; Kong, P.; Fernandez, A.; Polek, M.L.; Guerri, J.; Moreno, P.; Falk, B.W</w:t>
      </w:r>
      <w:r w:rsidRPr="00660813">
        <w:rPr>
          <w:rFonts w:asciiTheme="minorHAnsi" w:hAnsiTheme="minorHAnsi" w:cstheme="minorHAnsi"/>
          <w:sz w:val="20"/>
          <w:szCs w:val="20"/>
          <w:lang w:val="en-US" w:eastAsia="es-UY"/>
        </w:rPr>
        <w:t xml:space="preserve">. Genetic variation of Citrus tristeza virus isolates from California and Spain: Evidence for mixed infections and recombination. </w:t>
      </w:r>
      <w:r w:rsidRPr="00660813">
        <w:rPr>
          <w:rFonts w:asciiTheme="minorHAnsi" w:hAnsiTheme="minorHAnsi" w:cstheme="minorHAnsi"/>
          <w:i/>
          <w:sz w:val="20"/>
          <w:szCs w:val="20"/>
          <w:lang w:val="en-US" w:eastAsia="es-UY"/>
        </w:rPr>
        <w:t>J. Virol.</w:t>
      </w:r>
      <w:r w:rsidRPr="00660813">
        <w:rPr>
          <w:rFonts w:asciiTheme="minorHAnsi" w:hAnsiTheme="minorHAnsi" w:cstheme="minorHAnsi"/>
          <w:sz w:val="20"/>
          <w:szCs w:val="20"/>
          <w:lang w:val="en-US" w:eastAsia="es-UY"/>
        </w:rPr>
        <w:t xml:space="preserve"> </w:t>
      </w:r>
      <w:r w:rsidRPr="00CA71ED">
        <w:rPr>
          <w:rFonts w:asciiTheme="minorHAnsi" w:hAnsiTheme="minorHAnsi" w:cstheme="minorHAnsi"/>
          <w:sz w:val="20"/>
          <w:szCs w:val="20"/>
          <w:lang w:val="en-US" w:eastAsia="es-UY"/>
        </w:rPr>
        <w:t>2001, 75, 8054–8062.</w:t>
      </w:r>
    </w:p>
    <w:p w:rsidR="008F388B" w:rsidRPr="00660813" w:rsidRDefault="008F388B" w:rsidP="008F388B">
      <w:pPr>
        <w:autoSpaceDE w:val="0"/>
        <w:autoSpaceDN w:val="0"/>
        <w:adjustRightInd w:val="0"/>
        <w:spacing w:after="120"/>
        <w:rPr>
          <w:rFonts w:asciiTheme="minorHAnsi" w:hAnsiTheme="minorHAnsi" w:cstheme="minorHAnsi"/>
          <w:sz w:val="20"/>
          <w:szCs w:val="20"/>
          <w:lang w:val="en-US" w:eastAsia="es-UY"/>
        </w:rPr>
      </w:pPr>
      <w:r w:rsidRPr="00660813">
        <w:rPr>
          <w:rFonts w:asciiTheme="minorHAnsi" w:hAnsiTheme="minorHAnsi" w:cstheme="minorHAnsi"/>
          <w:b/>
          <w:sz w:val="20"/>
          <w:szCs w:val="20"/>
          <w:lang w:val="en-US" w:eastAsia="es-UY"/>
        </w:rPr>
        <w:t>Folimonova, S.Y.</w:t>
      </w:r>
      <w:r w:rsidRPr="00660813">
        <w:rPr>
          <w:rFonts w:asciiTheme="minorHAnsi" w:hAnsiTheme="minorHAnsi" w:cstheme="minorHAnsi"/>
          <w:sz w:val="20"/>
          <w:szCs w:val="20"/>
          <w:lang w:val="en-US" w:eastAsia="es-UY"/>
        </w:rPr>
        <w:t xml:space="preserve"> Developing an understanding of cross-protection by Citrus tristeza virus. Front. Microbiol. 2013, 4, e76.</w:t>
      </w:r>
    </w:p>
    <w:p w:rsidR="008F388B" w:rsidRPr="00CA71ED" w:rsidRDefault="008F388B" w:rsidP="008F388B">
      <w:pPr>
        <w:autoSpaceDE w:val="0"/>
        <w:autoSpaceDN w:val="0"/>
        <w:adjustRightInd w:val="0"/>
        <w:spacing w:after="120"/>
        <w:rPr>
          <w:rFonts w:asciiTheme="minorHAnsi" w:hAnsiTheme="minorHAnsi" w:cstheme="minorHAnsi"/>
          <w:sz w:val="20"/>
          <w:szCs w:val="20"/>
          <w:lang w:val="es-UY" w:eastAsia="es-UY"/>
        </w:rPr>
      </w:pPr>
      <w:r w:rsidRPr="00660813">
        <w:rPr>
          <w:rFonts w:asciiTheme="minorHAnsi" w:hAnsiTheme="minorHAnsi" w:cstheme="minorHAnsi"/>
          <w:b/>
          <w:sz w:val="20"/>
          <w:szCs w:val="20"/>
          <w:lang w:val="en-US" w:eastAsia="es-UY"/>
        </w:rPr>
        <w:t>Moreno, P.; Ambros, S.; Albiach-Marti, M.R.; Guerri, J.; Peña, L.</w:t>
      </w:r>
      <w:r w:rsidRPr="00660813">
        <w:rPr>
          <w:rFonts w:asciiTheme="minorHAnsi" w:hAnsiTheme="minorHAnsi" w:cstheme="minorHAnsi"/>
          <w:sz w:val="20"/>
          <w:szCs w:val="20"/>
          <w:lang w:val="en-US" w:eastAsia="es-UY"/>
        </w:rPr>
        <w:t xml:space="preserve"> Plant diseases that changed the world Citrus tristeza virus: A pathogen that changed the course of the citrus industry. </w:t>
      </w:r>
      <w:r w:rsidRPr="00CA71ED">
        <w:rPr>
          <w:rFonts w:asciiTheme="minorHAnsi" w:hAnsiTheme="minorHAnsi" w:cstheme="minorHAnsi"/>
          <w:i/>
          <w:sz w:val="20"/>
          <w:szCs w:val="20"/>
          <w:lang w:val="es-UY" w:eastAsia="es-UY"/>
        </w:rPr>
        <w:t>Mol. Plant Pathol.</w:t>
      </w:r>
      <w:r w:rsidRPr="00CA71ED">
        <w:rPr>
          <w:rFonts w:asciiTheme="minorHAnsi" w:hAnsiTheme="minorHAnsi" w:cstheme="minorHAnsi"/>
          <w:sz w:val="20"/>
          <w:szCs w:val="20"/>
          <w:lang w:val="es-UY" w:eastAsia="es-UY"/>
        </w:rPr>
        <w:t xml:space="preserve"> 2008, 9, 251–268.</w:t>
      </w:r>
    </w:p>
    <w:p w:rsidR="008F388B" w:rsidRPr="00660813" w:rsidRDefault="008F388B" w:rsidP="008F388B">
      <w:pPr>
        <w:autoSpaceDE w:val="0"/>
        <w:autoSpaceDN w:val="0"/>
        <w:adjustRightInd w:val="0"/>
        <w:spacing w:after="120"/>
        <w:rPr>
          <w:rFonts w:asciiTheme="minorHAnsi" w:hAnsiTheme="minorHAnsi" w:cstheme="minorHAnsi"/>
          <w:sz w:val="20"/>
          <w:szCs w:val="20"/>
          <w:lang w:val="es-UY"/>
        </w:rPr>
      </w:pPr>
      <w:r w:rsidRPr="00660813">
        <w:rPr>
          <w:rFonts w:asciiTheme="minorHAnsi" w:hAnsiTheme="minorHAnsi" w:cstheme="minorHAnsi"/>
          <w:b/>
          <w:sz w:val="20"/>
          <w:szCs w:val="20"/>
          <w:lang w:val="es-UY" w:eastAsia="es-UY"/>
        </w:rPr>
        <w:t>Koch de Brotos, L.; Boasso, C.</w:t>
      </w:r>
      <w:r w:rsidRPr="00660813">
        <w:rPr>
          <w:rFonts w:asciiTheme="minorHAnsi" w:hAnsiTheme="minorHAnsi" w:cstheme="minorHAnsi"/>
          <w:sz w:val="20"/>
          <w:szCs w:val="20"/>
          <w:lang w:val="es-UY" w:eastAsia="es-UY"/>
        </w:rPr>
        <w:t xml:space="preserve"> Lista de las Enfermedades de los Vegetalesen el Uruguay; Ministerio de Ganadería y Agricultura, Dirección de Agronomía, Laboratorio de Fisiología y Patología Vegetal: Montevi</w:t>
      </w:r>
      <w:r w:rsidRPr="008F388B">
        <w:rPr>
          <w:rFonts w:ascii="Arial" w:hAnsi="Arial" w:cs="Arial"/>
          <w:sz w:val="20"/>
          <w:szCs w:val="20"/>
          <w:lang w:val="es-UY" w:eastAsia="es-UY"/>
        </w:rPr>
        <w:t xml:space="preserve">deo, </w:t>
      </w:r>
      <w:r w:rsidRPr="00660813">
        <w:rPr>
          <w:rFonts w:asciiTheme="minorHAnsi" w:hAnsiTheme="minorHAnsi" w:cstheme="minorHAnsi"/>
          <w:sz w:val="20"/>
          <w:szCs w:val="20"/>
          <w:lang w:val="es-UY" w:eastAsia="es-UY"/>
        </w:rPr>
        <w:t>Uruguay, 1955; p. 65.</w:t>
      </w:r>
    </w:p>
    <w:sectPr w:rsidR="008F388B" w:rsidRPr="00660813" w:rsidSect="00390360">
      <w:headerReference w:type="default" r:id="rId14"/>
      <w:footerReference w:type="default" r:id="rId15"/>
      <w:type w:val="continuous"/>
      <w:pgSz w:w="11906" w:h="16838"/>
      <w:pgMar w:top="1418" w:right="1346" w:bottom="1418" w:left="1701" w:header="709" w:footer="10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E9D" w:rsidRDefault="009D7E9D" w:rsidP="00B20D8D">
      <w:r>
        <w:separator/>
      </w:r>
    </w:p>
  </w:endnote>
  <w:endnote w:type="continuationSeparator" w:id="1">
    <w:p w:rsidR="009D7E9D" w:rsidRDefault="009D7E9D" w:rsidP="00B20D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atin 72 5 BT">
    <w:altName w:val="Latin 72 5 B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Liberation Serif">
    <w:altName w:val="MS PMincho"/>
    <w:charset w:val="80"/>
    <w:family w:val="roman"/>
    <w:pitch w:val="variable"/>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Lohit Hindi">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D8D" w:rsidRDefault="00285F84" w:rsidP="00B20D8D">
    <w:pPr>
      <w:pStyle w:val="Piedepgina"/>
      <w:rPr>
        <w:rFonts w:ascii="Arial" w:hAnsi="Arial"/>
        <w:b/>
      </w:rPr>
    </w:pPr>
    <w:r w:rsidRPr="00285F84">
      <w:rPr>
        <w:rFonts w:ascii="Arial" w:hAnsi="Arial"/>
        <w:b/>
        <w:noProof/>
      </w:rPr>
      <w:pict>
        <v:line id="_x0000_s2051" style="position:absolute;left:0;text-align:left;z-index:251658240" from="0,10.8pt" to="424.8pt,10.8pt" strokecolor="gray" strokeweight="2.25pt"/>
      </w:pict>
    </w:r>
  </w:p>
  <w:p w:rsidR="00B20D8D" w:rsidRDefault="00687922" w:rsidP="00B20D8D">
    <w:pPr>
      <w:pStyle w:val="Piedepgina"/>
      <w:rPr>
        <w:rFonts w:ascii="Arial" w:hAnsi="Arial"/>
        <w:b/>
      </w:rPr>
    </w:pPr>
    <w:r>
      <w:rPr>
        <w:noProof/>
        <w:lang w:val="es-UY" w:eastAsia="es-UY"/>
      </w:rPr>
      <w:drawing>
        <wp:anchor distT="0" distB="0" distL="114300" distR="114300" simplePos="0" relativeHeight="251659264" behindDoc="0" locked="0" layoutInCell="1" allowOverlap="1">
          <wp:simplePos x="0" y="0"/>
          <wp:positionH relativeFrom="column">
            <wp:posOffset>4805680</wp:posOffset>
          </wp:positionH>
          <wp:positionV relativeFrom="paragraph">
            <wp:posOffset>3810</wp:posOffset>
          </wp:positionV>
          <wp:extent cx="589280" cy="549910"/>
          <wp:effectExtent l="1905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89280" cy="549910"/>
                  </a:xfrm>
                  <a:prstGeom prst="rect">
                    <a:avLst/>
                  </a:prstGeom>
                  <a:noFill/>
                  <a:ln w="9525">
                    <a:noFill/>
                    <a:miter lim="800000"/>
                    <a:headEnd/>
                    <a:tailEnd/>
                  </a:ln>
                </pic:spPr>
              </pic:pic>
            </a:graphicData>
          </a:graphic>
        </wp:anchor>
      </w:drawing>
    </w:r>
    <w:r w:rsidR="00B20D8D" w:rsidRPr="009B53CE">
      <w:rPr>
        <w:rFonts w:ascii="Arial" w:hAnsi="Arial"/>
        <w:b/>
        <w:color w:val="808080"/>
      </w:rPr>
      <w:t>INIA Salto Grande</w:t>
    </w:r>
    <w:r w:rsidR="00B20D8D">
      <w:rPr>
        <w:rFonts w:ascii="Arial" w:hAnsi="Arial"/>
        <w:b/>
      </w:rPr>
      <w:t xml:space="preserve">                            </w:t>
    </w:r>
  </w:p>
  <w:p w:rsidR="00B20D8D" w:rsidRDefault="00B20D8D" w:rsidP="00B20D8D">
    <w:pPr>
      <w:pStyle w:val="Piedepgina"/>
      <w:rPr>
        <w:rFonts w:ascii="Arial" w:hAnsi="Arial"/>
        <w:b/>
      </w:rPr>
    </w:pPr>
    <w:r>
      <w:rPr>
        <w:rFonts w:ascii="Arial" w:hAnsi="Arial"/>
        <w:b/>
      </w:rPr>
      <w:t xml:space="preserve">                                                               </w:t>
    </w:r>
    <w:r w:rsidRPr="00175764">
      <w:rPr>
        <w:rFonts w:ascii="Arial" w:hAnsi="Arial"/>
        <w:b/>
      </w:rPr>
      <w:t xml:space="preserve">  </w:t>
    </w:r>
  </w:p>
  <w:p w:rsidR="00B20D8D" w:rsidRDefault="00B20D8D" w:rsidP="00B20D8D">
    <w:pPr>
      <w:pStyle w:val="Piedepgina"/>
      <w:rPr>
        <w:rFonts w:ascii="Arial" w:hAnsi="Arial"/>
        <w:b/>
      </w:rPr>
    </w:pPr>
    <w:r>
      <w:rPr>
        <w:rFonts w:ascii="Arial" w:hAnsi="Arial"/>
        <w:b/>
      </w:rPr>
      <w:t xml:space="preserve">                                                                    </w:t>
    </w:r>
    <w:fldSimple w:instr=" PAGE   \* MERGEFORMAT ">
      <w:r w:rsidR="00FF16F5">
        <w:rPr>
          <w:noProof/>
        </w:rPr>
        <w:t>4</w:t>
      </w:r>
    </w:fldSimple>
    <w:r>
      <w:rPr>
        <w:rFonts w:ascii="Arial" w:hAnsi="Arial"/>
        <w:b/>
      </w:rPr>
      <w:t xml:space="preserve">                </w:t>
    </w:r>
    <w:r w:rsidRPr="00175764">
      <w:rPr>
        <w:rFonts w:ascii="Arial" w:hAnsi="Arial"/>
        <w:b/>
      </w:rPr>
      <w:t xml:space="preserve">  </w:t>
    </w:r>
  </w:p>
  <w:p w:rsidR="00B20D8D" w:rsidRDefault="00B20D8D" w:rsidP="00B20D8D">
    <w:pPr>
      <w:pStyle w:val="Piedepgina"/>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E9D" w:rsidRDefault="009D7E9D" w:rsidP="00B20D8D">
      <w:r>
        <w:separator/>
      </w:r>
    </w:p>
  </w:footnote>
  <w:footnote w:type="continuationSeparator" w:id="1">
    <w:p w:rsidR="009D7E9D" w:rsidRDefault="009D7E9D" w:rsidP="00B20D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D8D" w:rsidRPr="00D750E4" w:rsidRDefault="00285F84" w:rsidP="00B20D8D">
    <w:pPr>
      <w:pStyle w:val="Encabezado"/>
      <w:jc w:val="right"/>
      <w:rPr>
        <w:color w:val="808080"/>
      </w:rPr>
    </w:pPr>
    <w:r w:rsidRPr="00285F84">
      <w:rPr>
        <w:noProof/>
        <w:color w:val="808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5pt;width:54pt;height:22.35pt;z-index:251656192;visibility:visible;mso-wrap-edited:f">
          <v:imagedata r:id="rId1" o:title=""/>
          <w10:wrap type="topAndBottom"/>
        </v:shape>
        <o:OLEObject Type="Embed" ProgID="Word.Picture.8" ShapeID="_x0000_s2049" DrawAspect="Content" ObjectID="_1504633454" r:id="rId2"/>
      </w:pict>
    </w:r>
    <w:r w:rsidR="00B20D8D">
      <w:rPr>
        <w:noProof/>
        <w:color w:val="808080"/>
      </w:rPr>
      <w:t xml:space="preserve">Programa Nacional de Investigación en Producción </w:t>
    </w:r>
    <w:r w:rsidR="00CC15B3">
      <w:rPr>
        <w:noProof/>
        <w:color w:val="808080"/>
      </w:rPr>
      <w:t>Citrícola</w:t>
    </w:r>
  </w:p>
  <w:p w:rsidR="00B20D8D" w:rsidRDefault="00B20D8D" w:rsidP="00B20D8D">
    <w:pPr>
      <w:pStyle w:val="Encabezado"/>
    </w:pPr>
  </w:p>
  <w:p w:rsidR="00B20D8D" w:rsidRDefault="00285F84" w:rsidP="00B20D8D">
    <w:pPr>
      <w:pStyle w:val="Encabezado"/>
    </w:pPr>
    <w:r w:rsidRPr="00285F84">
      <w:rPr>
        <w:noProof/>
        <w:color w:val="808080"/>
      </w:rPr>
      <w:pict>
        <v:line id="_x0000_s2050" style="position:absolute;left:0;text-align:left;z-index:251657216" from="0,3.5pt" to="442.2pt,3.5pt" strokecolor="gray"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4C4038"/>
    <w:lvl w:ilvl="0">
      <w:start w:val="1"/>
      <w:numFmt w:val="decimal"/>
      <w:lvlText w:val="%1."/>
      <w:lvlJc w:val="left"/>
      <w:pPr>
        <w:tabs>
          <w:tab w:val="num" w:pos="1492"/>
        </w:tabs>
        <w:ind w:left="1492" w:hanging="360"/>
      </w:pPr>
    </w:lvl>
  </w:abstractNum>
  <w:abstractNum w:abstractNumId="1">
    <w:nsid w:val="FFFFFF7D"/>
    <w:multiLevelType w:val="singleLevel"/>
    <w:tmpl w:val="5EE026D4"/>
    <w:lvl w:ilvl="0">
      <w:start w:val="1"/>
      <w:numFmt w:val="decimal"/>
      <w:lvlText w:val="%1."/>
      <w:lvlJc w:val="left"/>
      <w:pPr>
        <w:tabs>
          <w:tab w:val="num" w:pos="1209"/>
        </w:tabs>
        <w:ind w:left="1209" w:hanging="360"/>
      </w:pPr>
    </w:lvl>
  </w:abstractNum>
  <w:abstractNum w:abstractNumId="2">
    <w:nsid w:val="FFFFFF7E"/>
    <w:multiLevelType w:val="singleLevel"/>
    <w:tmpl w:val="F782D08A"/>
    <w:lvl w:ilvl="0">
      <w:start w:val="1"/>
      <w:numFmt w:val="decimal"/>
      <w:lvlText w:val="%1."/>
      <w:lvlJc w:val="left"/>
      <w:pPr>
        <w:tabs>
          <w:tab w:val="num" w:pos="926"/>
        </w:tabs>
        <w:ind w:left="926" w:hanging="360"/>
      </w:pPr>
    </w:lvl>
  </w:abstractNum>
  <w:abstractNum w:abstractNumId="3">
    <w:nsid w:val="FFFFFF7F"/>
    <w:multiLevelType w:val="singleLevel"/>
    <w:tmpl w:val="6D02422A"/>
    <w:lvl w:ilvl="0">
      <w:start w:val="1"/>
      <w:numFmt w:val="decimal"/>
      <w:lvlText w:val="%1."/>
      <w:lvlJc w:val="left"/>
      <w:pPr>
        <w:tabs>
          <w:tab w:val="num" w:pos="643"/>
        </w:tabs>
        <w:ind w:left="643" w:hanging="360"/>
      </w:pPr>
    </w:lvl>
  </w:abstractNum>
  <w:abstractNum w:abstractNumId="4">
    <w:nsid w:val="FFFFFF80"/>
    <w:multiLevelType w:val="singleLevel"/>
    <w:tmpl w:val="016AA9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348B7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6C97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D10D7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8429DB0"/>
    <w:lvl w:ilvl="0">
      <w:start w:val="1"/>
      <w:numFmt w:val="decimal"/>
      <w:lvlText w:val="%1."/>
      <w:lvlJc w:val="left"/>
      <w:pPr>
        <w:tabs>
          <w:tab w:val="num" w:pos="360"/>
        </w:tabs>
        <w:ind w:left="360" w:hanging="360"/>
      </w:pPr>
    </w:lvl>
  </w:abstractNum>
  <w:abstractNum w:abstractNumId="9">
    <w:nsid w:val="FFFFFF89"/>
    <w:multiLevelType w:val="singleLevel"/>
    <w:tmpl w:val="9F74B324"/>
    <w:lvl w:ilvl="0">
      <w:start w:val="1"/>
      <w:numFmt w:val="bullet"/>
      <w:lvlText w:val=""/>
      <w:lvlJc w:val="left"/>
      <w:pPr>
        <w:tabs>
          <w:tab w:val="num" w:pos="360"/>
        </w:tabs>
        <w:ind w:left="360" w:hanging="360"/>
      </w:pPr>
      <w:rPr>
        <w:rFonts w:ascii="Symbol" w:hAnsi="Symbol" w:hint="default"/>
      </w:rPr>
    </w:lvl>
  </w:abstractNum>
  <w:abstractNum w:abstractNumId="10">
    <w:nsid w:val="0477070A"/>
    <w:multiLevelType w:val="hybridMultilevel"/>
    <w:tmpl w:val="AF7E056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5634915"/>
    <w:multiLevelType w:val="hybridMultilevel"/>
    <w:tmpl w:val="5BECD38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7073AFD"/>
    <w:multiLevelType w:val="hybridMultilevel"/>
    <w:tmpl w:val="8A8818B6"/>
    <w:lvl w:ilvl="0" w:tplc="4894BFB6">
      <w:start w:val="1"/>
      <w:numFmt w:val="decimal"/>
      <w:lvlText w:val="%1."/>
      <w:lvlJc w:val="left"/>
      <w:pPr>
        <w:ind w:left="1068" w:hanging="360"/>
      </w:pPr>
      <w:rPr>
        <w:rFonts w:ascii="Arial" w:eastAsia="Calibri" w:hAnsi="Arial" w:cs="Arial"/>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139F69BC"/>
    <w:multiLevelType w:val="hybridMultilevel"/>
    <w:tmpl w:val="8A8818B6"/>
    <w:lvl w:ilvl="0" w:tplc="4894BFB6">
      <w:start w:val="1"/>
      <w:numFmt w:val="decimal"/>
      <w:lvlText w:val="%1."/>
      <w:lvlJc w:val="left"/>
      <w:pPr>
        <w:ind w:left="1068" w:hanging="360"/>
      </w:pPr>
      <w:rPr>
        <w:rFonts w:ascii="Arial" w:eastAsia="Calibri" w:hAnsi="Arial" w:cs="Arial"/>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nsid w:val="1F024961"/>
    <w:multiLevelType w:val="hybridMultilevel"/>
    <w:tmpl w:val="E9261E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85A3274"/>
    <w:multiLevelType w:val="hybridMultilevel"/>
    <w:tmpl w:val="6C4629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0B2ACA"/>
    <w:multiLevelType w:val="hybridMultilevel"/>
    <w:tmpl w:val="711CC8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A22D81"/>
    <w:multiLevelType w:val="hybridMultilevel"/>
    <w:tmpl w:val="F06880B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3213C5F"/>
    <w:multiLevelType w:val="hybridMultilevel"/>
    <w:tmpl w:val="8A8818B6"/>
    <w:lvl w:ilvl="0" w:tplc="4894BFB6">
      <w:start w:val="1"/>
      <w:numFmt w:val="decimal"/>
      <w:lvlText w:val="%1."/>
      <w:lvlJc w:val="left"/>
      <w:pPr>
        <w:ind w:left="1068" w:hanging="360"/>
      </w:pPr>
      <w:rPr>
        <w:rFonts w:ascii="Arial" w:eastAsia="Calibri" w:hAnsi="Arial" w:cs="Arial"/>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338A74DE"/>
    <w:multiLevelType w:val="hybridMultilevel"/>
    <w:tmpl w:val="5BECD38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AE17A29"/>
    <w:multiLevelType w:val="hybridMultilevel"/>
    <w:tmpl w:val="AC0AA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C6E19CD"/>
    <w:multiLevelType w:val="hybridMultilevel"/>
    <w:tmpl w:val="FC4A655A"/>
    <w:lvl w:ilvl="0" w:tplc="2B70D3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D1C14F7"/>
    <w:multiLevelType w:val="hybridMultilevel"/>
    <w:tmpl w:val="654C932C"/>
    <w:lvl w:ilvl="0" w:tplc="60C24EC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E0F05F0"/>
    <w:multiLevelType w:val="hybridMultilevel"/>
    <w:tmpl w:val="066EFB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5928DA"/>
    <w:multiLevelType w:val="hybridMultilevel"/>
    <w:tmpl w:val="FF56136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nsid w:val="3FEE4F69"/>
    <w:multiLevelType w:val="hybridMultilevel"/>
    <w:tmpl w:val="B260BEB8"/>
    <w:lvl w:ilvl="0" w:tplc="6B2A9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30311C"/>
    <w:multiLevelType w:val="hybridMultilevel"/>
    <w:tmpl w:val="C2862114"/>
    <w:lvl w:ilvl="0" w:tplc="3D3A4364">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7">
    <w:nsid w:val="48EA75C9"/>
    <w:multiLevelType w:val="hybridMultilevel"/>
    <w:tmpl w:val="EF3432C8"/>
    <w:lvl w:ilvl="0" w:tplc="CA1C18E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8030F7"/>
    <w:multiLevelType w:val="hybridMultilevel"/>
    <w:tmpl w:val="7068B460"/>
    <w:lvl w:ilvl="0" w:tplc="A77E1C7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511394C"/>
    <w:multiLevelType w:val="hybridMultilevel"/>
    <w:tmpl w:val="D3E463A0"/>
    <w:lvl w:ilvl="0" w:tplc="254C492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AAE17BF"/>
    <w:multiLevelType w:val="hybridMultilevel"/>
    <w:tmpl w:val="B4084672"/>
    <w:lvl w:ilvl="0" w:tplc="97BA5746">
      <w:start w:val="1"/>
      <w:numFmt w:val="lowerLetter"/>
      <w:lvlText w:val="%1-"/>
      <w:lvlJc w:val="left"/>
      <w:pPr>
        <w:ind w:left="720" w:hanging="360"/>
      </w:pPr>
      <w:rPr>
        <w:rFonts w:eastAsia="Arial Unicode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D595CBB"/>
    <w:multiLevelType w:val="hybridMultilevel"/>
    <w:tmpl w:val="986A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DF5262F"/>
    <w:multiLevelType w:val="hybridMultilevel"/>
    <w:tmpl w:val="5AC6B11C"/>
    <w:lvl w:ilvl="0" w:tplc="6AA6B9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F860F91"/>
    <w:multiLevelType w:val="hybridMultilevel"/>
    <w:tmpl w:val="51C440BE"/>
    <w:lvl w:ilvl="0" w:tplc="7CFEC03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1"/>
  </w:num>
  <w:num w:numId="2">
    <w:abstractNumId w:val="23"/>
  </w:num>
  <w:num w:numId="3">
    <w:abstractNumId w:val="31"/>
  </w:num>
  <w:num w:numId="4">
    <w:abstractNumId w:val="10"/>
  </w:num>
  <w:num w:numId="5">
    <w:abstractNumId w:val="20"/>
  </w:num>
  <w:num w:numId="6">
    <w:abstractNumId w:val="24"/>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33"/>
  </w:num>
  <w:num w:numId="18">
    <w:abstractNumId w:val="25"/>
  </w:num>
  <w:num w:numId="19">
    <w:abstractNumId w:val="11"/>
  </w:num>
  <w:num w:numId="20">
    <w:abstractNumId w:val="32"/>
  </w:num>
  <w:num w:numId="21">
    <w:abstractNumId w:val="13"/>
  </w:num>
  <w:num w:numId="22">
    <w:abstractNumId w:val="16"/>
  </w:num>
  <w:num w:numId="23">
    <w:abstractNumId w:val="27"/>
  </w:num>
  <w:num w:numId="24">
    <w:abstractNumId w:val="14"/>
  </w:num>
  <w:num w:numId="25">
    <w:abstractNumId w:val="15"/>
  </w:num>
  <w:num w:numId="26">
    <w:abstractNumId w:val="17"/>
  </w:num>
  <w:num w:numId="27">
    <w:abstractNumId w:val="30"/>
  </w:num>
  <w:num w:numId="28">
    <w:abstractNumId w:val="29"/>
  </w:num>
  <w:num w:numId="29">
    <w:abstractNumId w:val="22"/>
  </w:num>
  <w:num w:numId="30">
    <w:abstractNumId w:val="28"/>
  </w:num>
  <w:num w:numId="31">
    <w:abstractNumId w:val="18"/>
  </w:num>
  <w:num w:numId="32">
    <w:abstractNumId w:val="12"/>
  </w:num>
  <w:num w:numId="33">
    <w:abstractNumId w:val="19"/>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ctiveWritingStyle w:appName="MSWord" w:lang="es-ES" w:vendorID="64" w:dllVersion="131078" w:nlCheck="1" w:checkStyle="1"/>
  <w:activeWritingStyle w:appName="MSWord" w:lang="es-MX" w:vendorID="64" w:dllVersion="131078" w:nlCheck="1" w:checkStyle="1"/>
  <w:activeWritingStyle w:appName="MSWord" w:lang="es-UY" w:vendorID="64" w:dllVersion="131078" w:nlCheck="1" w:checkStyle="1"/>
  <w:activeWritingStyle w:appName="MSWord" w:lang="en-US" w:vendorID="64" w:dllVersion="131078" w:nlCheck="1" w:checkStyle="1"/>
  <w:activeWritingStyle w:appName="MSWord" w:lang="es-ES_tradnl" w:vendorID="64" w:dllVersion="131078" w:nlCheck="1" w:checkStyle="1"/>
  <w:defaultTabStop w:val="709"/>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09071B"/>
    <w:rsid w:val="0000099D"/>
    <w:rsid w:val="0001723B"/>
    <w:rsid w:val="00020244"/>
    <w:rsid w:val="00020AB7"/>
    <w:rsid w:val="00021E98"/>
    <w:rsid w:val="00026135"/>
    <w:rsid w:val="0003191C"/>
    <w:rsid w:val="00047E7F"/>
    <w:rsid w:val="000512C8"/>
    <w:rsid w:val="00057AE3"/>
    <w:rsid w:val="00071EA6"/>
    <w:rsid w:val="00074473"/>
    <w:rsid w:val="000748DD"/>
    <w:rsid w:val="00081FB8"/>
    <w:rsid w:val="000856A2"/>
    <w:rsid w:val="000868F0"/>
    <w:rsid w:val="00086E3A"/>
    <w:rsid w:val="0009071B"/>
    <w:rsid w:val="0009614C"/>
    <w:rsid w:val="000D01E5"/>
    <w:rsid w:val="000D303C"/>
    <w:rsid w:val="000D7A86"/>
    <w:rsid w:val="000E455F"/>
    <w:rsid w:val="000E6202"/>
    <w:rsid w:val="000F59EE"/>
    <w:rsid w:val="00107C36"/>
    <w:rsid w:val="00112420"/>
    <w:rsid w:val="00127329"/>
    <w:rsid w:val="00131E37"/>
    <w:rsid w:val="00134D89"/>
    <w:rsid w:val="00141444"/>
    <w:rsid w:val="00144140"/>
    <w:rsid w:val="0014674F"/>
    <w:rsid w:val="00152DF2"/>
    <w:rsid w:val="0015316B"/>
    <w:rsid w:val="00165098"/>
    <w:rsid w:val="0016513F"/>
    <w:rsid w:val="00172A73"/>
    <w:rsid w:val="0018050A"/>
    <w:rsid w:val="00181130"/>
    <w:rsid w:val="0018787A"/>
    <w:rsid w:val="001C3A18"/>
    <w:rsid w:val="001D2633"/>
    <w:rsid w:val="001D4EC4"/>
    <w:rsid w:val="001D7AD9"/>
    <w:rsid w:val="001E3A64"/>
    <w:rsid w:val="001F0848"/>
    <w:rsid w:val="001F35DD"/>
    <w:rsid w:val="001F49BF"/>
    <w:rsid w:val="00206302"/>
    <w:rsid w:val="00207440"/>
    <w:rsid w:val="002101D8"/>
    <w:rsid w:val="002479E6"/>
    <w:rsid w:val="00251195"/>
    <w:rsid w:val="00251C6D"/>
    <w:rsid w:val="00254945"/>
    <w:rsid w:val="00262102"/>
    <w:rsid w:val="002706AD"/>
    <w:rsid w:val="002729DA"/>
    <w:rsid w:val="0028217E"/>
    <w:rsid w:val="00283E4C"/>
    <w:rsid w:val="00285F84"/>
    <w:rsid w:val="00290289"/>
    <w:rsid w:val="00293AEF"/>
    <w:rsid w:val="00294C9B"/>
    <w:rsid w:val="002A3396"/>
    <w:rsid w:val="002A4E65"/>
    <w:rsid w:val="002B055E"/>
    <w:rsid w:val="002B54EB"/>
    <w:rsid w:val="002B5699"/>
    <w:rsid w:val="002C1350"/>
    <w:rsid w:val="002C4045"/>
    <w:rsid w:val="002D4443"/>
    <w:rsid w:val="002D50CD"/>
    <w:rsid w:val="002D597F"/>
    <w:rsid w:val="002E31E4"/>
    <w:rsid w:val="002F6368"/>
    <w:rsid w:val="00300290"/>
    <w:rsid w:val="0030271B"/>
    <w:rsid w:val="00307D1B"/>
    <w:rsid w:val="0031403E"/>
    <w:rsid w:val="00316CA6"/>
    <w:rsid w:val="00324E68"/>
    <w:rsid w:val="00327B6E"/>
    <w:rsid w:val="00331DBB"/>
    <w:rsid w:val="00331E19"/>
    <w:rsid w:val="00331EC9"/>
    <w:rsid w:val="00332768"/>
    <w:rsid w:val="00340C83"/>
    <w:rsid w:val="003460E6"/>
    <w:rsid w:val="00351E0A"/>
    <w:rsid w:val="003615FE"/>
    <w:rsid w:val="00365670"/>
    <w:rsid w:val="00366E6B"/>
    <w:rsid w:val="003778A6"/>
    <w:rsid w:val="0038691C"/>
    <w:rsid w:val="00386EF3"/>
    <w:rsid w:val="00390360"/>
    <w:rsid w:val="00390487"/>
    <w:rsid w:val="00391877"/>
    <w:rsid w:val="003A6973"/>
    <w:rsid w:val="003A7331"/>
    <w:rsid w:val="003A7452"/>
    <w:rsid w:val="003B6DF0"/>
    <w:rsid w:val="003C3E59"/>
    <w:rsid w:val="003C4374"/>
    <w:rsid w:val="003C596F"/>
    <w:rsid w:val="003D2262"/>
    <w:rsid w:val="003D34AD"/>
    <w:rsid w:val="003D6C20"/>
    <w:rsid w:val="003E18E9"/>
    <w:rsid w:val="003E4F86"/>
    <w:rsid w:val="003E5E7E"/>
    <w:rsid w:val="003F534F"/>
    <w:rsid w:val="00401B95"/>
    <w:rsid w:val="00407896"/>
    <w:rsid w:val="004140FF"/>
    <w:rsid w:val="00415B9C"/>
    <w:rsid w:val="0042071E"/>
    <w:rsid w:val="004265C9"/>
    <w:rsid w:val="00427955"/>
    <w:rsid w:val="00427B4B"/>
    <w:rsid w:val="0043544E"/>
    <w:rsid w:val="00450A42"/>
    <w:rsid w:val="00450F91"/>
    <w:rsid w:val="004538ED"/>
    <w:rsid w:val="00482E38"/>
    <w:rsid w:val="004A65A1"/>
    <w:rsid w:val="004B6C72"/>
    <w:rsid w:val="004C04C8"/>
    <w:rsid w:val="004C4200"/>
    <w:rsid w:val="004E030A"/>
    <w:rsid w:val="004E0A21"/>
    <w:rsid w:val="004E374A"/>
    <w:rsid w:val="004E4942"/>
    <w:rsid w:val="004E7ACE"/>
    <w:rsid w:val="004F15B7"/>
    <w:rsid w:val="00510161"/>
    <w:rsid w:val="005216C7"/>
    <w:rsid w:val="005217FB"/>
    <w:rsid w:val="005433FD"/>
    <w:rsid w:val="00545915"/>
    <w:rsid w:val="005474E6"/>
    <w:rsid w:val="00571CA2"/>
    <w:rsid w:val="00577FE2"/>
    <w:rsid w:val="005A5575"/>
    <w:rsid w:val="005C1035"/>
    <w:rsid w:val="005C10D6"/>
    <w:rsid w:val="005C60B3"/>
    <w:rsid w:val="005D1EB4"/>
    <w:rsid w:val="005D362E"/>
    <w:rsid w:val="005E1150"/>
    <w:rsid w:val="005F3831"/>
    <w:rsid w:val="005F6E88"/>
    <w:rsid w:val="00601727"/>
    <w:rsid w:val="006123F5"/>
    <w:rsid w:val="00624F9D"/>
    <w:rsid w:val="006259C0"/>
    <w:rsid w:val="00626EC8"/>
    <w:rsid w:val="00660813"/>
    <w:rsid w:val="00671AAF"/>
    <w:rsid w:val="00687922"/>
    <w:rsid w:val="00692C2E"/>
    <w:rsid w:val="006946EE"/>
    <w:rsid w:val="0069593E"/>
    <w:rsid w:val="006A4431"/>
    <w:rsid w:val="006A5892"/>
    <w:rsid w:val="006B3B64"/>
    <w:rsid w:val="006B4BB0"/>
    <w:rsid w:val="006C7EB6"/>
    <w:rsid w:val="006D479F"/>
    <w:rsid w:val="006E1E2E"/>
    <w:rsid w:val="006E253F"/>
    <w:rsid w:val="006F3D9D"/>
    <w:rsid w:val="00717334"/>
    <w:rsid w:val="00717AB8"/>
    <w:rsid w:val="00732804"/>
    <w:rsid w:val="007330D1"/>
    <w:rsid w:val="00746105"/>
    <w:rsid w:val="00746C7E"/>
    <w:rsid w:val="00757C68"/>
    <w:rsid w:val="00764D88"/>
    <w:rsid w:val="00765D1E"/>
    <w:rsid w:val="00774476"/>
    <w:rsid w:val="0079346E"/>
    <w:rsid w:val="007A1060"/>
    <w:rsid w:val="007A1145"/>
    <w:rsid w:val="007A18F3"/>
    <w:rsid w:val="007A6A81"/>
    <w:rsid w:val="007B34E8"/>
    <w:rsid w:val="007C34A6"/>
    <w:rsid w:val="007D77F0"/>
    <w:rsid w:val="007E0693"/>
    <w:rsid w:val="007E475D"/>
    <w:rsid w:val="007E677E"/>
    <w:rsid w:val="007E6D5B"/>
    <w:rsid w:val="007F1EB2"/>
    <w:rsid w:val="007F4FF7"/>
    <w:rsid w:val="00803A8F"/>
    <w:rsid w:val="008077AB"/>
    <w:rsid w:val="00812FAC"/>
    <w:rsid w:val="00814904"/>
    <w:rsid w:val="008177DC"/>
    <w:rsid w:val="00821A95"/>
    <w:rsid w:val="00830D32"/>
    <w:rsid w:val="00831573"/>
    <w:rsid w:val="00834A03"/>
    <w:rsid w:val="00836BA4"/>
    <w:rsid w:val="00842063"/>
    <w:rsid w:val="00851186"/>
    <w:rsid w:val="00860AD6"/>
    <w:rsid w:val="00863BD3"/>
    <w:rsid w:val="00863FDD"/>
    <w:rsid w:val="00864A30"/>
    <w:rsid w:val="00867583"/>
    <w:rsid w:val="00872346"/>
    <w:rsid w:val="008865B9"/>
    <w:rsid w:val="00886E46"/>
    <w:rsid w:val="00897930"/>
    <w:rsid w:val="008A3E5A"/>
    <w:rsid w:val="008A443B"/>
    <w:rsid w:val="008B02F4"/>
    <w:rsid w:val="008B5ED2"/>
    <w:rsid w:val="008C1C45"/>
    <w:rsid w:val="008C7026"/>
    <w:rsid w:val="008E0F19"/>
    <w:rsid w:val="008E2E0A"/>
    <w:rsid w:val="008E4D43"/>
    <w:rsid w:val="008F388B"/>
    <w:rsid w:val="0090577D"/>
    <w:rsid w:val="009162DB"/>
    <w:rsid w:val="00921E4F"/>
    <w:rsid w:val="009310F2"/>
    <w:rsid w:val="009312E4"/>
    <w:rsid w:val="009317F5"/>
    <w:rsid w:val="0093630E"/>
    <w:rsid w:val="009369AA"/>
    <w:rsid w:val="00941E1E"/>
    <w:rsid w:val="009456E1"/>
    <w:rsid w:val="0095330B"/>
    <w:rsid w:val="00965327"/>
    <w:rsid w:val="0097388E"/>
    <w:rsid w:val="00986193"/>
    <w:rsid w:val="00991E86"/>
    <w:rsid w:val="009938A3"/>
    <w:rsid w:val="009952D0"/>
    <w:rsid w:val="00996786"/>
    <w:rsid w:val="00996A34"/>
    <w:rsid w:val="009A1143"/>
    <w:rsid w:val="009A7F13"/>
    <w:rsid w:val="009B148F"/>
    <w:rsid w:val="009C4D71"/>
    <w:rsid w:val="009C6B77"/>
    <w:rsid w:val="009D4FAF"/>
    <w:rsid w:val="009D7E9D"/>
    <w:rsid w:val="009E4DF0"/>
    <w:rsid w:val="009E59BF"/>
    <w:rsid w:val="00A01E2E"/>
    <w:rsid w:val="00A06366"/>
    <w:rsid w:val="00A14198"/>
    <w:rsid w:val="00A27241"/>
    <w:rsid w:val="00A3446C"/>
    <w:rsid w:val="00A42F59"/>
    <w:rsid w:val="00A550D9"/>
    <w:rsid w:val="00A5660F"/>
    <w:rsid w:val="00A579F3"/>
    <w:rsid w:val="00A709F5"/>
    <w:rsid w:val="00A72946"/>
    <w:rsid w:val="00A770E5"/>
    <w:rsid w:val="00A8442B"/>
    <w:rsid w:val="00A87182"/>
    <w:rsid w:val="00A878D6"/>
    <w:rsid w:val="00AA2FCA"/>
    <w:rsid w:val="00AA43E4"/>
    <w:rsid w:val="00AA798F"/>
    <w:rsid w:val="00AA7DD1"/>
    <w:rsid w:val="00AB040C"/>
    <w:rsid w:val="00AB131D"/>
    <w:rsid w:val="00AB2B25"/>
    <w:rsid w:val="00AC588B"/>
    <w:rsid w:val="00AE2816"/>
    <w:rsid w:val="00AF1EAA"/>
    <w:rsid w:val="00B04C8B"/>
    <w:rsid w:val="00B066BA"/>
    <w:rsid w:val="00B20D8D"/>
    <w:rsid w:val="00B25E5A"/>
    <w:rsid w:val="00B307FE"/>
    <w:rsid w:val="00B41B36"/>
    <w:rsid w:val="00B447BE"/>
    <w:rsid w:val="00B47BC0"/>
    <w:rsid w:val="00B536A3"/>
    <w:rsid w:val="00B62B10"/>
    <w:rsid w:val="00B636CD"/>
    <w:rsid w:val="00B679FC"/>
    <w:rsid w:val="00B9039B"/>
    <w:rsid w:val="00B9132C"/>
    <w:rsid w:val="00BA106D"/>
    <w:rsid w:val="00BA421E"/>
    <w:rsid w:val="00BA5AD9"/>
    <w:rsid w:val="00BD24FF"/>
    <w:rsid w:val="00BD51BA"/>
    <w:rsid w:val="00BE6C4A"/>
    <w:rsid w:val="00BE6F1A"/>
    <w:rsid w:val="00BE7017"/>
    <w:rsid w:val="00C026E1"/>
    <w:rsid w:val="00C06665"/>
    <w:rsid w:val="00C17612"/>
    <w:rsid w:val="00C21D98"/>
    <w:rsid w:val="00C229CB"/>
    <w:rsid w:val="00C270F0"/>
    <w:rsid w:val="00C30BB2"/>
    <w:rsid w:val="00C3197A"/>
    <w:rsid w:val="00C40230"/>
    <w:rsid w:val="00C44FCE"/>
    <w:rsid w:val="00C519AF"/>
    <w:rsid w:val="00C51FCE"/>
    <w:rsid w:val="00C54711"/>
    <w:rsid w:val="00C566E0"/>
    <w:rsid w:val="00C655F0"/>
    <w:rsid w:val="00C80D9A"/>
    <w:rsid w:val="00C84C85"/>
    <w:rsid w:val="00C96F5B"/>
    <w:rsid w:val="00CA3E7A"/>
    <w:rsid w:val="00CA71ED"/>
    <w:rsid w:val="00CB3378"/>
    <w:rsid w:val="00CB565C"/>
    <w:rsid w:val="00CC15B3"/>
    <w:rsid w:val="00CD539D"/>
    <w:rsid w:val="00CE31E7"/>
    <w:rsid w:val="00D04E0E"/>
    <w:rsid w:val="00D14844"/>
    <w:rsid w:val="00D2219F"/>
    <w:rsid w:val="00D228EC"/>
    <w:rsid w:val="00D311DF"/>
    <w:rsid w:val="00D31EF6"/>
    <w:rsid w:val="00D34BB5"/>
    <w:rsid w:val="00D36E11"/>
    <w:rsid w:val="00D534B8"/>
    <w:rsid w:val="00D55C63"/>
    <w:rsid w:val="00D656D6"/>
    <w:rsid w:val="00D669C2"/>
    <w:rsid w:val="00D67759"/>
    <w:rsid w:val="00D67794"/>
    <w:rsid w:val="00D751C4"/>
    <w:rsid w:val="00D810A4"/>
    <w:rsid w:val="00D818EC"/>
    <w:rsid w:val="00D84A39"/>
    <w:rsid w:val="00DA146D"/>
    <w:rsid w:val="00DA5231"/>
    <w:rsid w:val="00DB052F"/>
    <w:rsid w:val="00DC146D"/>
    <w:rsid w:val="00DD4B20"/>
    <w:rsid w:val="00DD6EF3"/>
    <w:rsid w:val="00DE39F5"/>
    <w:rsid w:val="00DE5A7A"/>
    <w:rsid w:val="00DE630D"/>
    <w:rsid w:val="00E04307"/>
    <w:rsid w:val="00E07312"/>
    <w:rsid w:val="00E30CA3"/>
    <w:rsid w:val="00E50D40"/>
    <w:rsid w:val="00E61916"/>
    <w:rsid w:val="00E7622F"/>
    <w:rsid w:val="00E81533"/>
    <w:rsid w:val="00E81DBC"/>
    <w:rsid w:val="00EA1866"/>
    <w:rsid w:val="00EA2999"/>
    <w:rsid w:val="00EA2B91"/>
    <w:rsid w:val="00EA2BA0"/>
    <w:rsid w:val="00EA30E4"/>
    <w:rsid w:val="00EA446C"/>
    <w:rsid w:val="00EA5FA8"/>
    <w:rsid w:val="00EB1064"/>
    <w:rsid w:val="00EB2BD8"/>
    <w:rsid w:val="00EB6D7F"/>
    <w:rsid w:val="00EE2127"/>
    <w:rsid w:val="00EE56AB"/>
    <w:rsid w:val="00EE641C"/>
    <w:rsid w:val="00EE6C25"/>
    <w:rsid w:val="00EF5AA4"/>
    <w:rsid w:val="00EF6833"/>
    <w:rsid w:val="00EF6B9A"/>
    <w:rsid w:val="00F02087"/>
    <w:rsid w:val="00F0719F"/>
    <w:rsid w:val="00F10441"/>
    <w:rsid w:val="00F10A43"/>
    <w:rsid w:val="00F10FE1"/>
    <w:rsid w:val="00F12E52"/>
    <w:rsid w:val="00F13FA2"/>
    <w:rsid w:val="00F15416"/>
    <w:rsid w:val="00F308E0"/>
    <w:rsid w:val="00F366D5"/>
    <w:rsid w:val="00F52A5A"/>
    <w:rsid w:val="00F5774F"/>
    <w:rsid w:val="00F63F03"/>
    <w:rsid w:val="00F649D8"/>
    <w:rsid w:val="00F730DD"/>
    <w:rsid w:val="00F73D8E"/>
    <w:rsid w:val="00F76D57"/>
    <w:rsid w:val="00F90267"/>
    <w:rsid w:val="00F90EAF"/>
    <w:rsid w:val="00F94DB8"/>
    <w:rsid w:val="00FA082B"/>
    <w:rsid w:val="00FA4062"/>
    <w:rsid w:val="00FB04C3"/>
    <w:rsid w:val="00FB4F20"/>
    <w:rsid w:val="00FB5FEF"/>
    <w:rsid w:val="00FD2107"/>
    <w:rsid w:val="00FD22BB"/>
    <w:rsid w:val="00FE0ADF"/>
    <w:rsid w:val="00FE3AC7"/>
    <w:rsid w:val="00FF16F5"/>
    <w:rsid w:val="00FF4F68"/>
    <w:rsid w:val="00FF5F3E"/>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UY" w:eastAsia="es-U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77E"/>
    <w:pPr>
      <w:jc w:val="both"/>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4FF7"/>
    <w:rPr>
      <w:rFonts w:ascii="Tahoma" w:hAnsi="Tahoma" w:cs="Tahoma"/>
      <w:sz w:val="16"/>
      <w:szCs w:val="16"/>
    </w:rPr>
  </w:style>
  <w:style w:type="character" w:customStyle="1" w:styleId="TextodegloboCar">
    <w:name w:val="Texto de globo Car"/>
    <w:basedOn w:val="Fuentedeprrafopredeter"/>
    <w:link w:val="Textodeglobo"/>
    <w:uiPriority w:val="99"/>
    <w:semiHidden/>
    <w:rsid w:val="007F4FF7"/>
    <w:rPr>
      <w:rFonts w:ascii="Tahoma" w:hAnsi="Tahoma" w:cs="Tahoma"/>
      <w:sz w:val="16"/>
      <w:szCs w:val="16"/>
      <w:lang w:eastAsia="en-US"/>
    </w:rPr>
  </w:style>
  <w:style w:type="table" w:styleId="Tablaconcuadrcula">
    <w:name w:val="Table Grid"/>
    <w:basedOn w:val="Tablanormal"/>
    <w:uiPriority w:val="59"/>
    <w:rsid w:val="002729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7955"/>
    <w:pPr>
      <w:ind w:left="708"/>
    </w:pPr>
  </w:style>
  <w:style w:type="paragraph" w:customStyle="1" w:styleId="Pa14">
    <w:name w:val="Pa14"/>
    <w:basedOn w:val="Normal"/>
    <w:next w:val="Normal"/>
    <w:uiPriority w:val="99"/>
    <w:rsid w:val="003A7331"/>
    <w:pPr>
      <w:autoSpaceDE w:val="0"/>
      <w:autoSpaceDN w:val="0"/>
      <w:adjustRightInd w:val="0"/>
      <w:spacing w:after="100" w:line="196" w:lineRule="atLeast"/>
      <w:jc w:val="left"/>
    </w:pPr>
    <w:rPr>
      <w:rFonts w:ascii="Latin 72 5 BT" w:hAnsi="Latin 72 5 BT"/>
      <w:sz w:val="24"/>
      <w:szCs w:val="24"/>
    </w:rPr>
  </w:style>
  <w:style w:type="character" w:styleId="Hipervnculo">
    <w:name w:val="Hyperlink"/>
    <w:basedOn w:val="Fuentedeprrafopredeter"/>
    <w:unhideWhenUsed/>
    <w:rsid w:val="00E30CA3"/>
    <w:rPr>
      <w:color w:val="0000FF"/>
      <w:u w:val="single"/>
    </w:rPr>
  </w:style>
  <w:style w:type="character" w:styleId="Hipervnculovisitado">
    <w:name w:val="FollowedHyperlink"/>
    <w:basedOn w:val="Fuentedeprrafopredeter"/>
    <w:uiPriority w:val="99"/>
    <w:semiHidden/>
    <w:unhideWhenUsed/>
    <w:rsid w:val="001D4EC4"/>
    <w:rPr>
      <w:color w:val="800080"/>
      <w:u w:val="single"/>
    </w:rPr>
  </w:style>
  <w:style w:type="paragraph" w:styleId="NormalWeb">
    <w:name w:val="Normal (Web)"/>
    <w:basedOn w:val="Normal"/>
    <w:uiPriority w:val="99"/>
    <w:unhideWhenUsed/>
    <w:rsid w:val="001D4EC4"/>
    <w:pPr>
      <w:spacing w:before="100" w:beforeAutospacing="1" w:after="100" w:afterAutospacing="1"/>
      <w:jc w:val="left"/>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B20D8D"/>
    <w:pPr>
      <w:tabs>
        <w:tab w:val="center" w:pos="4252"/>
        <w:tab w:val="right" w:pos="8504"/>
      </w:tabs>
    </w:pPr>
  </w:style>
  <w:style w:type="character" w:customStyle="1" w:styleId="EncabezadoCar">
    <w:name w:val="Encabezado Car"/>
    <w:basedOn w:val="Fuentedeprrafopredeter"/>
    <w:link w:val="Encabezado"/>
    <w:uiPriority w:val="99"/>
    <w:rsid w:val="00B20D8D"/>
    <w:rPr>
      <w:sz w:val="22"/>
      <w:szCs w:val="22"/>
      <w:lang w:eastAsia="en-US"/>
    </w:rPr>
  </w:style>
  <w:style w:type="paragraph" w:styleId="Piedepgina">
    <w:name w:val="footer"/>
    <w:basedOn w:val="Normal"/>
    <w:link w:val="PiedepginaCar"/>
    <w:uiPriority w:val="99"/>
    <w:unhideWhenUsed/>
    <w:rsid w:val="00B20D8D"/>
    <w:pPr>
      <w:tabs>
        <w:tab w:val="center" w:pos="4252"/>
        <w:tab w:val="right" w:pos="8504"/>
      </w:tabs>
    </w:pPr>
  </w:style>
  <w:style w:type="character" w:customStyle="1" w:styleId="PiedepginaCar">
    <w:name w:val="Pie de página Car"/>
    <w:basedOn w:val="Fuentedeprrafopredeter"/>
    <w:link w:val="Piedepgina"/>
    <w:uiPriority w:val="99"/>
    <w:rsid w:val="00B20D8D"/>
    <w:rPr>
      <w:sz w:val="22"/>
      <w:szCs w:val="22"/>
      <w:lang w:eastAsia="en-US"/>
    </w:rPr>
  </w:style>
  <w:style w:type="paragraph" w:customStyle="1" w:styleId="Authorsafiiliation04">
    <w:name w:val="样式 Author's afiiliation + 段后: 0.4 行"/>
    <w:basedOn w:val="Normal"/>
    <w:next w:val="Normal"/>
    <w:rsid w:val="00F94DB8"/>
    <w:pPr>
      <w:snapToGrid w:val="0"/>
      <w:spacing w:afterLines="40"/>
      <w:jc w:val="center"/>
    </w:pPr>
    <w:rPr>
      <w:rFonts w:ascii="Arial Narrow" w:eastAsia="Arial Narrow" w:hAnsi="Arial Narrow" w:cs="SimSun"/>
      <w:i/>
      <w:iCs/>
      <w:sz w:val="21"/>
      <w:szCs w:val="20"/>
      <w:lang w:val="hr-HR"/>
    </w:rPr>
  </w:style>
  <w:style w:type="paragraph" w:customStyle="1" w:styleId="Authors04">
    <w:name w:val="样式 Authors + 段后: 0.4 行"/>
    <w:basedOn w:val="Normal"/>
    <w:rsid w:val="00F94DB8"/>
    <w:pPr>
      <w:snapToGrid w:val="0"/>
      <w:spacing w:afterLines="40"/>
      <w:jc w:val="center"/>
    </w:pPr>
    <w:rPr>
      <w:rFonts w:ascii="Arial Narrow" w:eastAsia="Arial Narrow" w:hAnsi="Arial Narrow" w:cs="SimSun"/>
      <w:sz w:val="21"/>
      <w:szCs w:val="20"/>
      <w:lang w:val="hr-HR"/>
    </w:rPr>
  </w:style>
  <w:style w:type="paragraph" w:customStyle="1" w:styleId="Title">
    <w:name w:val="样式 Title + 非全部大写"/>
    <w:basedOn w:val="Normal"/>
    <w:rsid w:val="00F94DB8"/>
    <w:pPr>
      <w:snapToGrid w:val="0"/>
      <w:spacing w:afterLines="40"/>
      <w:jc w:val="center"/>
    </w:pPr>
    <w:rPr>
      <w:rFonts w:ascii="Arial Narrow" w:eastAsia="Arial Narrow" w:hAnsi="Arial Narrow"/>
      <w:b/>
      <w:bCs/>
      <w:sz w:val="24"/>
      <w:szCs w:val="24"/>
      <w:lang w:val="en-US"/>
    </w:rPr>
  </w:style>
  <w:style w:type="paragraph" w:customStyle="1" w:styleId="Authors">
    <w:name w:val="样式 Authors + 下划线"/>
    <w:basedOn w:val="Normal"/>
    <w:link w:val="AuthorsChar"/>
    <w:rsid w:val="00F94DB8"/>
    <w:pPr>
      <w:snapToGrid w:val="0"/>
      <w:spacing w:afterLines="40"/>
      <w:jc w:val="center"/>
    </w:pPr>
    <w:rPr>
      <w:rFonts w:ascii="Arial Narrow" w:eastAsia="Arial Narrow" w:hAnsi="Arial Narrow"/>
      <w:sz w:val="21"/>
      <w:szCs w:val="21"/>
      <w:u w:val="single"/>
      <w:lang w:val="hr-HR"/>
    </w:rPr>
  </w:style>
  <w:style w:type="character" w:customStyle="1" w:styleId="AuthorsChar">
    <w:name w:val="样式 Authors + 下划线 Char"/>
    <w:basedOn w:val="Fuentedeprrafopredeter"/>
    <w:link w:val="Authors"/>
    <w:rsid w:val="00F94DB8"/>
    <w:rPr>
      <w:rFonts w:ascii="Arial Narrow" w:eastAsia="Arial Narrow" w:hAnsi="Arial Narrow"/>
      <w:sz w:val="21"/>
      <w:szCs w:val="21"/>
      <w:u w:val="single"/>
      <w:lang w:val="hr-HR" w:eastAsia="en-US" w:bidi="ar-SA"/>
    </w:rPr>
  </w:style>
  <w:style w:type="paragraph" w:customStyle="1" w:styleId="Keywords">
    <w:name w:val="Keywords"/>
    <w:basedOn w:val="Normal"/>
    <w:rsid w:val="00390360"/>
    <w:pPr>
      <w:snapToGrid w:val="0"/>
      <w:spacing w:afterLines="100"/>
    </w:pPr>
    <w:rPr>
      <w:rFonts w:ascii="Arial Narrow" w:eastAsia="Arial Narrow" w:hAnsi="Arial Narrow"/>
      <w:sz w:val="21"/>
      <w:szCs w:val="21"/>
      <w:lang w:val="en-US"/>
    </w:rPr>
  </w:style>
  <w:style w:type="character" w:styleId="nfasis">
    <w:name w:val="Emphasis"/>
    <w:basedOn w:val="Fuentedeprrafopredeter"/>
    <w:qFormat/>
    <w:rsid w:val="00C3197A"/>
    <w:rPr>
      <w:i/>
      <w:iCs/>
    </w:rPr>
  </w:style>
  <w:style w:type="paragraph" w:styleId="Textosinformato">
    <w:name w:val="Plain Text"/>
    <w:basedOn w:val="Normal"/>
    <w:link w:val="TextosinformatoCar"/>
    <w:uiPriority w:val="99"/>
    <w:unhideWhenUsed/>
    <w:rsid w:val="008177DC"/>
    <w:pPr>
      <w:jc w:val="left"/>
    </w:pPr>
    <w:rPr>
      <w:rFonts w:ascii="Consolas" w:hAnsi="Consolas"/>
      <w:sz w:val="21"/>
      <w:szCs w:val="21"/>
    </w:rPr>
  </w:style>
  <w:style w:type="character" w:customStyle="1" w:styleId="TextosinformatoCar">
    <w:name w:val="Texto sin formato Car"/>
    <w:basedOn w:val="Fuentedeprrafopredeter"/>
    <w:link w:val="Textosinformato"/>
    <w:uiPriority w:val="99"/>
    <w:rsid w:val="008177DC"/>
    <w:rPr>
      <w:rFonts w:ascii="Consolas" w:hAnsi="Consolas"/>
      <w:sz w:val="21"/>
      <w:szCs w:val="21"/>
      <w:lang w:val="es-ES"/>
    </w:rPr>
  </w:style>
  <w:style w:type="paragraph" w:customStyle="1" w:styleId="Default">
    <w:name w:val="Default"/>
    <w:rsid w:val="008177DC"/>
    <w:pPr>
      <w:autoSpaceDE w:val="0"/>
      <w:autoSpaceDN w:val="0"/>
      <w:adjustRightInd w:val="0"/>
    </w:pPr>
    <w:rPr>
      <w:rFonts w:ascii="Times New Roman" w:hAnsi="Times New Roman"/>
      <w:color w:val="000000"/>
      <w:sz w:val="24"/>
      <w:szCs w:val="24"/>
      <w:lang w:val="es-ES" w:eastAsia="es-ES"/>
    </w:rPr>
  </w:style>
  <w:style w:type="character" w:customStyle="1" w:styleId="TextocomentarioCar">
    <w:name w:val="Texto comentario Car"/>
    <w:basedOn w:val="Fuentedeprrafopredeter"/>
    <w:link w:val="Textocomentario"/>
    <w:uiPriority w:val="99"/>
    <w:semiHidden/>
    <w:rsid w:val="008177DC"/>
    <w:rPr>
      <w:lang w:val="es-ES"/>
    </w:rPr>
  </w:style>
  <w:style w:type="paragraph" w:styleId="Textocomentario">
    <w:name w:val="annotation text"/>
    <w:basedOn w:val="Normal"/>
    <w:link w:val="TextocomentarioCar"/>
    <w:uiPriority w:val="99"/>
    <w:semiHidden/>
    <w:unhideWhenUsed/>
    <w:rsid w:val="008177DC"/>
    <w:pPr>
      <w:spacing w:after="200" w:line="276" w:lineRule="auto"/>
      <w:jc w:val="left"/>
    </w:pPr>
    <w:rPr>
      <w:sz w:val="20"/>
      <w:szCs w:val="20"/>
    </w:rPr>
  </w:style>
  <w:style w:type="character" w:customStyle="1" w:styleId="AsuntodelcomentarioCar">
    <w:name w:val="Asunto del comentario Car"/>
    <w:basedOn w:val="TextocomentarioCar"/>
    <w:link w:val="Asuntodelcomentario"/>
    <w:uiPriority w:val="99"/>
    <w:semiHidden/>
    <w:rsid w:val="008177DC"/>
    <w:rPr>
      <w:b/>
      <w:bCs/>
    </w:rPr>
  </w:style>
  <w:style w:type="paragraph" w:styleId="Asuntodelcomentario">
    <w:name w:val="annotation subject"/>
    <w:basedOn w:val="Textocomentario"/>
    <w:next w:val="Textocomentario"/>
    <w:link w:val="AsuntodelcomentarioCar"/>
    <w:uiPriority w:val="99"/>
    <w:semiHidden/>
    <w:unhideWhenUsed/>
    <w:rsid w:val="008177DC"/>
    <w:rPr>
      <w:b/>
      <w:bCs/>
    </w:rPr>
  </w:style>
  <w:style w:type="paragraph" w:styleId="Textoindependiente">
    <w:name w:val="Body Text"/>
    <w:basedOn w:val="Normal"/>
    <w:link w:val="TextoindependienteCar"/>
    <w:rsid w:val="00886E46"/>
    <w:pPr>
      <w:widowControl w:val="0"/>
      <w:suppressAutoHyphens/>
      <w:spacing w:after="120"/>
      <w:jc w:val="left"/>
    </w:pPr>
    <w:rPr>
      <w:rFonts w:ascii="Liberation Serif" w:eastAsia="Droid Sans Fallback" w:hAnsi="Liberation Serif" w:cs="Lohit Hindi"/>
      <w:kern w:val="1"/>
      <w:sz w:val="24"/>
      <w:szCs w:val="24"/>
      <w:lang w:val="es-UY" w:eastAsia="hi-IN" w:bidi="hi-IN"/>
    </w:rPr>
  </w:style>
  <w:style w:type="character" w:customStyle="1" w:styleId="TextoindependienteCar">
    <w:name w:val="Texto independiente Car"/>
    <w:basedOn w:val="Fuentedeprrafopredeter"/>
    <w:link w:val="Textoindependiente"/>
    <w:rsid w:val="00886E46"/>
    <w:rPr>
      <w:rFonts w:ascii="Liberation Serif" w:eastAsia="Droid Sans Fallback" w:hAnsi="Liberation Serif" w:cs="Lohit Hindi"/>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1102989593">
      <w:bodyDiv w:val="1"/>
      <w:marLeft w:val="0"/>
      <w:marRight w:val="0"/>
      <w:marTop w:val="0"/>
      <w:marBottom w:val="0"/>
      <w:divBdr>
        <w:top w:val="none" w:sz="0" w:space="0" w:color="auto"/>
        <w:left w:val="none" w:sz="0" w:space="0" w:color="auto"/>
        <w:bottom w:val="none" w:sz="0" w:space="0" w:color="auto"/>
        <w:right w:val="none" w:sz="0" w:space="0" w:color="auto"/>
      </w:divBdr>
    </w:div>
    <w:div w:id="1388262059">
      <w:bodyDiv w:val="1"/>
      <w:marLeft w:val="0"/>
      <w:marRight w:val="0"/>
      <w:marTop w:val="0"/>
      <w:marBottom w:val="0"/>
      <w:divBdr>
        <w:top w:val="none" w:sz="0" w:space="0" w:color="auto"/>
        <w:left w:val="none" w:sz="0" w:space="0" w:color="auto"/>
        <w:bottom w:val="none" w:sz="0" w:space="0" w:color="auto"/>
        <w:right w:val="none" w:sz="0" w:space="0" w:color="auto"/>
      </w:divBdr>
    </w:div>
    <w:div w:id="202135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jo\Downloads\Base%20de%20datos%20muestreo%20FPTA%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jo\Downloads\Base%20de%20datos%20muestreo%20FPTA%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UY"/>
  <c:style val="26"/>
  <c:chart>
    <c:title>
      <c:tx>
        <c:rich>
          <a:bodyPr/>
          <a:lstStyle/>
          <a:p>
            <a:pPr>
              <a:defRPr lang="ru-RU" sz="1200">
                <a:latin typeface="+mn-lt"/>
                <a:cs typeface="Arial" pitchFamily="34" charset="0"/>
              </a:defRPr>
            </a:pPr>
            <a:r>
              <a:rPr lang="fr-FR" sz="1200">
                <a:latin typeface="+mn-lt"/>
                <a:cs typeface="Arial" pitchFamily="34" charset="0"/>
              </a:rPr>
              <a:t>Positividad por Virus</a:t>
            </a:r>
          </a:p>
        </c:rich>
      </c:tx>
    </c:title>
    <c:plotArea>
      <c:layout/>
      <c:barChart>
        <c:barDir val="col"/>
        <c:grouping val="clustered"/>
        <c:ser>
          <c:idx val="0"/>
          <c:order val="0"/>
          <c:tx>
            <c:strRef>
              <c:f>Sheet3!$A$10</c:f>
              <c:strCache>
                <c:ptCount val="1"/>
                <c:pt idx="0">
                  <c:v>CTV</c:v>
                </c:pt>
              </c:strCache>
            </c:strRef>
          </c:tx>
          <c:cat>
            <c:strRef>
              <c:f>Sheet3!$B$9:$C$9</c:f>
              <c:strCache>
                <c:ptCount val="2"/>
                <c:pt idx="0">
                  <c:v>Positivo</c:v>
                </c:pt>
                <c:pt idx="1">
                  <c:v>Negativo</c:v>
                </c:pt>
              </c:strCache>
            </c:strRef>
          </c:cat>
          <c:val>
            <c:numRef>
              <c:f>Sheet3!$B$10:$C$10</c:f>
              <c:numCache>
                <c:formatCode>General</c:formatCode>
                <c:ptCount val="2"/>
                <c:pt idx="0">
                  <c:v>178</c:v>
                </c:pt>
                <c:pt idx="1">
                  <c:v>45</c:v>
                </c:pt>
              </c:numCache>
            </c:numRef>
          </c:val>
        </c:ser>
        <c:ser>
          <c:idx val="1"/>
          <c:order val="1"/>
          <c:tx>
            <c:strRef>
              <c:f>Sheet3!$A$11</c:f>
              <c:strCache>
                <c:ptCount val="1"/>
                <c:pt idx="0">
                  <c:v>CPsV</c:v>
                </c:pt>
              </c:strCache>
            </c:strRef>
          </c:tx>
          <c:cat>
            <c:strRef>
              <c:f>Sheet3!$B$9:$C$9</c:f>
              <c:strCache>
                <c:ptCount val="2"/>
                <c:pt idx="0">
                  <c:v>Positivo</c:v>
                </c:pt>
                <c:pt idx="1">
                  <c:v>Negativo</c:v>
                </c:pt>
              </c:strCache>
            </c:strRef>
          </c:cat>
          <c:val>
            <c:numRef>
              <c:f>Sheet3!$B$11:$C$11</c:f>
              <c:numCache>
                <c:formatCode>General</c:formatCode>
                <c:ptCount val="2"/>
                <c:pt idx="0">
                  <c:v>8</c:v>
                </c:pt>
                <c:pt idx="1">
                  <c:v>215</c:v>
                </c:pt>
              </c:numCache>
            </c:numRef>
          </c:val>
        </c:ser>
        <c:axId val="100540800"/>
        <c:axId val="100672640"/>
      </c:barChart>
      <c:catAx>
        <c:axId val="100540800"/>
        <c:scaling>
          <c:orientation val="minMax"/>
        </c:scaling>
        <c:axPos val="b"/>
        <c:tickLblPos val="nextTo"/>
        <c:txPr>
          <a:bodyPr/>
          <a:lstStyle/>
          <a:p>
            <a:pPr>
              <a:defRPr lang="ru-RU"/>
            </a:pPr>
            <a:endParaRPr lang="es-UY"/>
          </a:p>
        </c:txPr>
        <c:crossAx val="100672640"/>
        <c:crosses val="autoZero"/>
        <c:auto val="1"/>
        <c:lblAlgn val="ctr"/>
        <c:lblOffset val="100"/>
      </c:catAx>
      <c:valAx>
        <c:axId val="100672640"/>
        <c:scaling>
          <c:orientation val="minMax"/>
        </c:scaling>
        <c:axPos val="l"/>
        <c:majorGridlines/>
        <c:title>
          <c:tx>
            <c:rich>
              <a:bodyPr rot="-5400000" vert="horz"/>
              <a:lstStyle/>
              <a:p>
                <a:pPr>
                  <a:defRPr lang="ru-RU"/>
                </a:pPr>
                <a:r>
                  <a:rPr lang="fr-FR"/>
                  <a:t>N° de muestras</a:t>
                </a:r>
              </a:p>
            </c:rich>
          </c:tx>
        </c:title>
        <c:numFmt formatCode="General" sourceLinked="1"/>
        <c:tickLblPos val="nextTo"/>
        <c:txPr>
          <a:bodyPr/>
          <a:lstStyle/>
          <a:p>
            <a:pPr>
              <a:defRPr lang="ru-RU"/>
            </a:pPr>
            <a:endParaRPr lang="es-UY"/>
          </a:p>
        </c:txPr>
        <c:crossAx val="100540800"/>
        <c:crosses val="autoZero"/>
        <c:crossBetween val="between"/>
      </c:valAx>
    </c:plotArea>
    <c:legend>
      <c:legendPos val="r"/>
      <c:txPr>
        <a:bodyPr/>
        <a:lstStyle/>
        <a:p>
          <a:pPr>
            <a:defRPr lang="ru-RU"/>
          </a:pPr>
          <a:endParaRPr lang="es-UY"/>
        </a:p>
      </c:txPr>
    </c:legend>
    <c:plotVisOnly val="1"/>
    <c:dispBlanksAs val="gap"/>
  </c:chart>
  <c:spPr>
    <a:ln w="12700">
      <a:solidFill>
        <a:sysClr val="windowText" lastClr="00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UY"/>
  <c:style val="26"/>
  <c:chart>
    <c:title>
      <c:tx>
        <c:rich>
          <a:bodyPr/>
          <a:lstStyle/>
          <a:p>
            <a:pPr>
              <a:defRPr lang="ru-RU" sz="1200"/>
            </a:pPr>
            <a:r>
              <a:rPr lang="fr-FR" sz="1200"/>
              <a:t>Positividad por Virus y por Variedad</a:t>
            </a:r>
          </a:p>
        </c:rich>
      </c:tx>
    </c:title>
    <c:plotArea>
      <c:layout/>
      <c:barChart>
        <c:barDir val="col"/>
        <c:grouping val="clustered"/>
        <c:ser>
          <c:idx val="0"/>
          <c:order val="0"/>
          <c:tx>
            <c:strRef>
              <c:f>Sheet3!$A$16</c:f>
              <c:strCache>
                <c:ptCount val="1"/>
                <c:pt idx="0">
                  <c:v>CTV</c:v>
                </c:pt>
              </c:strCache>
            </c:strRef>
          </c:tx>
          <c:cat>
            <c:multiLvlStrRef>
              <c:f>Sheet3!$B$14:$G$15</c:f>
              <c:multiLvlStrCache>
                <c:ptCount val="6"/>
                <c:lvl>
                  <c:pt idx="0">
                    <c:v>Positivo</c:v>
                  </c:pt>
                  <c:pt idx="1">
                    <c:v>Negativo</c:v>
                  </c:pt>
                  <c:pt idx="2">
                    <c:v>Positivo</c:v>
                  </c:pt>
                  <c:pt idx="3">
                    <c:v>Negativo</c:v>
                  </c:pt>
                  <c:pt idx="4">
                    <c:v>Positivo</c:v>
                  </c:pt>
                  <c:pt idx="5">
                    <c:v>Negativo</c:v>
                  </c:pt>
                </c:lvl>
                <c:lvl>
                  <c:pt idx="0">
                    <c:v>Naranja</c:v>
                  </c:pt>
                  <c:pt idx="2">
                    <c:v>Mandarina</c:v>
                  </c:pt>
                  <c:pt idx="4">
                    <c:v>Limón</c:v>
                  </c:pt>
                </c:lvl>
              </c:multiLvlStrCache>
            </c:multiLvlStrRef>
          </c:cat>
          <c:val>
            <c:numRef>
              <c:f>Sheet3!$B$16:$G$16</c:f>
              <c:numCache>
                <c:formatCode>General</c:formatCode>
                <c:ptCount val="6"/>
                <c:pt idx="0">
                  <c:v>133</c:v>
                </c:pt>
                <c:pt idx="1">
                  <c:v>23</c:v>
                </c:pt>
                <c:pt idx="2">
                  <c:v>33</c:v>
                </c:pt>
                <c:pt idx="3">
                  <c:v>22</c:v>
                </c:pt>
                <c:pt idx="4">
                  <c:v>12</c:v>
                </c:pt>
                <c:pt idx="5">
                  <c:v>0</c:v>
                </c:pt>
              </c:numCache>
            </c:numRef>
          </c:val>
        </c:ser>
        <c:ser>
          <c:idx val="1"/>
          <c:order val="1"/>
          <c:tx>
            <c:strRef>
              <c:f>Sheet3!$A$17</c:f>
              <c:strCache>
                <c:ptCount val="1"/>
                <c:pt idx="0">
                  <c:v>CPsV</c:v>
                </c:pt>
              </c:strCache>
            </c:strRef>
          </c:tx>
          <c:cat>
            <c:multiLvlStrRef>
              <c:f>Sheet3!$B$14:$G$15</c:f>
              <c:multiLvlStrCache>
                <c:ptCount val="6"/>
                <c:lvl>
                  <c:pt idx="0">
                    <c:v>Positivo</c:v>
                  </c:pt>
                  <c:pt idx="1">
                    <c:v>Negativo</c:v>
                  </c:pt>
                  <c:pt idx="2">
                    <c:v>Positivo</c:v>
                  </c:pt>
                  <c:pt idx="3">
                    <c:v>Negativo</c:v>
                  </c:pt>
                  <c:pt idx="4">
                    <c:v>Positivo</c:v>
                  </c:pt>
                  <c:pt idx="5">
                    <c:v>Negativo</c:v>
                  </c:pt>
                </c:lvl>
                <c:lvl>
                  <c:pt idx="0">
                    <c:v>Naranja</c:v>
                  </c:pt>
                  <c:pt idx="2">
                    <c:v>Mandarina</c:v>
                  </c:pt>
                  <c:pt idx="4">
                    <c:v>Limón</c:v>
                  </c:pt>
                </c:lvl>
              </c:multiLvlStrCache>
            </c:multiLvlStrRef>
          </c:cat>
          <c:val>
            <c:numRef>
              <c:f>Sheet3!$B$17:$G$17</c:f>
              <c:numCache>
                <c:formatCode>General</c:formatCode>
                <c:ptCount val="6"/>
                <c:pt idx="0">
                  <c:v>8</c:v>
                </c:pt>
                <c:pt idx="1">
                  <c:v>148</c:v>
                </c:pt>
                <c:pt idx="2">
                  <c:v>0</c:v>
                </c:pt>
                <c:pt idx="3">
                  <c:v>55</c:v>
                </c:pt>
                <c:pt idx="4">
                  <c:v>0</c:v>
                </c:pt>
                <c:pt idx="5">
                  <c:v>12</c:v>
                </c:pt>
              </c:numCache>
            </c:numRef>
          </c:val>
        </c:ser>
        <c:axId val="102070528"/>
        <c:axId val="102112640"/>
      </c:barChart>
      <c:catAx>
        <c:axId val="102070528"/>
        <c:scaling>
          <c:orientation val="minMax"/>
        </c:scaling>
        <c:axPos val="b"/>
        <c:tickLblPos val="nextTo"/>
        <c:txPr>
          <a:bodyPr/>
          <a:lstStyle/>
          <a:p>
            <a:pPr>
              <a:defRPr lang="ru-RU" sz="800">
                <a:latin typeface="+mn-lt"/>
                <a:cs typeface="Arial" pitchFamily="34" charset="0"/>
              </a:defRPr>
            </a:pPr>
            <a:endParaRPr lang="es-UY"/>
          </a:p>
        </c:txPr>
        <c:crossAx val="102112640"/>
        <c:crosses val="autoZero"/>
        <c:auto val="1"/>
        <c:lblAlgn val="ctr"/>
        <c:lblOffset val="100"/>
      </c:catAx>
      <c:valAx>
        <c:axId val="102112640"/>
        <c:scaling>
          <c:orientation val="minMax"/>
        </c:scaling>
        <c:axPos val="l"/>
        <c:majorGridlines/>
        <c:title>
          <c:tx>
            <c:rich>
              <a:bodyPr rot="-5400000" vert="horz"/>
              <a:lstStyle/>
              <a:p>
                <a:pPr>
                  <a:defRPr lang="ru-RU"/>
                </a:pPr>
                <a:r>
                  <a:rPr lang="fr-FR"/>
                  <a:t>N° de muestras</a:t>
                </a:r>
              </a:p>
            </c:rich>
          </c:tx>
        </c:title>
        <c:numFmt formatCode="General" sourceLinked="1"/>
        <c:tickLblPos val="nextTo"/>
        <c:txPr>
          <a:bodyPr/>
          <a:lstStyle/>
          <a:p>
            <a:pPr>
              <a:defRPr lang="ru-RU"/>
            </a:pPr>
            <a:endParaRPr lang="es-UY"/>
          </a:p>
        </c:txPr>
        <c:crossAx val="102070528"/>
        <c:crosses val="autoZero"/>
        <c:crossBetween val="between"/>
      </c:valAx>
    </c:plotArea>
    <c:legend>
      <c:legendPos val="r"/>
      <c:txPr>
        <a:bodyPr/>
        <a:lstStyle/>
        <a:p>
          <a:pPr>
            <a:defRPr lang="ru-RU"/>
          </a:pPr>
          <a:endParaRPr lang="es-UY"/>
        </a:p>
      </c:txPr>
    </c:legend>
    <c:plotVisOnly val="1"/>
    <c:dispBlanksAs val="gap"/>
  </c:chart>
  <c:spPr>
    <a:ln w="12700">
      <a:solidFill>
        <a:sysClr val="windowText" lastClr="000000"/>
      </a:solid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517A3F-9C44-43BE-B222-D5EA98615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1783</Words>
  <Characters>9807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Titulo (Arial 12, Negrita)</vt:lpstr>
    </vt:vector>
  </TitlesOfParts>
  <LinksUpToDate>false</LinksUpToDate>
  <CharactersWithSpaces>11567</CharactersWithSpaces>
  <SharedDoc>false</SharedDoc>
  <HLinks>
    <vt:vector size="42" baseType="variant">
      <vt:variant>
        <vt:i4>3866704</vt:i4>
      </vt:variant>
      <vt:variant>
        <vt:i4>21</vt:i4>
      </vt:variant>
      <vt:variant>
        <vt:i4>0</vt:i4>
      </vt:variant>
      <vt:variant>
        <vt:i4>5</vt:i4>
      </vt:variant>
      <vt:variant>
        <vt:lpwstr>mailto:jbuenahora@inia.org.uy</vt:lpwstr>
      </vt:variant>
      <vt:variant>
        <vt:lpwstr/>
      </vt:variant>
      <vt:variant>
        <vt:i4>3604573</vt:i4>
      </vt:variant>
      <vt:variant>
        <vt:i4>18</vt:i4>
      </vt:variant>
      <vt:variant>
        <vt:i4>0</vt:i4>
      </vt:variant>
      <vt:variant>
        <vt:i4>5</vt:i4>
      </vt:variant>
      <vt:variant>
        <vt:lpwstr>mailto:aotero@inia.org.uy</vt:lpwstr>
      </vt:variant>
      <vt:variant>
        <vt:lpwstr/>
      </vt:variant>
      <vt:variant>
        <vt:i4>3604573</vt:i4>
      </vt:variant>
      <vt:variant>
        <vt:i4>15</vt:i4>
      </vt:variant>
      <vt:variant>
        <vt:i4>0</vt:i4>
      </vt:variant>
      <vt:variant>
        <vt:i4>5</vt:i4>
      </vt:variant>
      <vt:variant>
        <vt:lpwstr>mailto:aotero@inia.org.uy</vt:lpwstr>
      </vt:variant>
      <vt:variant>
        <vt:lpwstr/>
      </vt:variant>
      <vt:variant>
        <vt:i4>3866704</vt:i4>
      </vt:variant>
      <vt:variant>
        <vt:i4>12</vt:i4>
      </vt:variant>
      <vt:variant>
        <vt:i4>0</vt:i4>
      </vt:variant>
      <vt:variant>
        <vt:i4>5</vt:i4>
      </vt:variant>
      <vt:variant>
        <vt:lpwstr>mailto:jbuenahora@inia.org.uy</vt:lpwstr>
      </vt:variant>
      <vt:variant>
        <vt:lpwstr/>
      </vt:variant>
      <vt:variant>
        <vt:i4>3604573</vt:i4>
      </vt:variant>
      <vt:variant>
        <vt:i4>9</vt:i4>
      </vt:variant>
      <vt:variant>
        <vt:i4>0</vt:i4>
      </vt:variant>
      <vt:variant>
        <vt:i4>5</vt:i4>
      </vt:variant>
      <vt:variant>
        <vt:lpwstr>mailto:aotero@inia.org.uy</vt:lpwstr>
      </vt:variant>
      <vt:variant>
        <vt:lpwstr/>
      </vt:variant>
      <vt:variant>
        <vt:i4>3866704</vt:i4>
      </vt:variant>
      <vt:variant>
        <vt:i4>6</vt:i4>
      </vt:variant>
      <vt:variant>
        <vt:i4>0</vt:i4>
      </vt:variant>
      <vt:variant>
        <vt:i4>5</vt:i4>
      </vt:variant>
      <vt:variant>
        <vt:lpwstr>mailto:jbuenahora@inia.org.uy</vt:lpwstr>
      </vt:variant>
      <vt:variant>
        <vt:lpwstr/>
      </vt:variant>
      <vt:variant>
        <vt:i4>2097223</vt:i4>
      </vt:variant>
      <vt:variant>
        <vt:i4>0</vt:i4>
      </vt:variant>
      <vt:variant>
        <vt:i4>0</vt:i4>
      </vt:variant>
      <vt:variant>
        <vt:i4>5</vt:i4>
      </vt:variant>
      <vt:variant>
        <vt:lpwstr>mailto:lrubio@inia.org.uy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 (Arial 12, Negrita)</dc:title>
  <dc:creator/>
  <cp:lastModifiedBy/>
  <cp:revision>1</cp:revision>
  <cp:lastPrinted>2012-08-21T12:28:00Z</cp:lastPrinted>
  <dcterms:created xsi:type="dcterms:W3CDTF">2015-09-08T14:27:00Z</dcterms:created>
  <dcterms:modified xsi:type="dcterms:W3CDTF">2015-09-24T23:58:00Z</dcterms:modified>
</cp:coreProperties>
</file>